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6A56" w:rsidRPr="002015B0" w:rsidRDefault="008A6A56" w:rsidP="005F1222">
      <w:pPr>
        <w:spacing w:after="0" w:line="240" w:lineRule="auto"/>
        <w:rPr>
          <w:rFonts w:cs="David"/>
          <w:b/>
          <w:bCs/>
          <w:sz w:val="24"/>
          <w:szCs w:val="24"/>
          <w:rtl/>
        </w:rPr>
      </w:pPr>
      <w:r w:rsidRPr="005F1222">
        <w:rPr>
          <w:rFonts w:cs="David" w:hint="cs"/>
          <w:b/>
          <w:bCs/>
          <w:sz w:val="28"/>
          <w:szCs w:val="28"/>
          <w:u w:val="single"/>
          <w:rtl/>
        </w:rPr>
        <w:t>מושגים</w:t>
      </w:r>
      <w:r w:rsidR="005F1222">
        <w:rPr>
          <w:rFonts w:cs="David" w:hint="cs"/>
          <w:b/>
          <w:bCs/>
          <w:sz w:val="28"/>
          <w:szCs w:val="28"/>
          <w:u w:val="single"/>
          <w:rtl/>
        </w:rPr>
        <w:t xml:space="preserve"> בעברית</w:t>
      </w:r>
      <w:r w:rsidRPr="005F1222">
        <w:rPr>
          <w:rFonts w:cs="David" w:hint="cs"/>
          <w:b/>
          <w:bCs/>
          <w:sz w:val="28"/>
          <w:szCs w:val="28"/>
          <w:rtl/>
        </w:rPr>
        <w:t>:</w:t>
      </w:r>
    </w:p>
    <w:p w:rsidR="005F1222" w:rsidRPr="002015B0" w:rsidRDefault="005F1222" w:rsidP="005F1222">
      <w:pPr>
        <w:pStyle w:val="NormalWeb"/>
        <w:bidi/>
        <w:spacing w:beforeAutospacing="0" w:after="0" w:afterAutospacing="0"/>
        <w:ind w:right="113"/>
        <w:jc w:val="both"/>
        <w:rPr>
          <w:rFonts w:ascii="Arial" w:hAnsi="Arial" w:cs="David"/>
          <w:rtl/>
        </w:rPr>
      </w:pPr>
      <w:r w:rsidRPr="002015B0">
        <w:rPr>
          <w:rFonts w:ascii="Arial" w:hAnsi="Arial" w:cs="David"/>
          <w:b/>
          <w:bCs/>
          <w:rtl/>
        </w:rPr>
        <w:t>אגודה שיתופית</w:t>
      </w:r>
      <w:r w:rsidRPr="002015B0">
        <w:rPr>
          <w:rFonts w:ascii="Arial" w:hAnsi="Arial" w:cs="David"/>
          <w:rtl/>
        </w:rPr>
        <w:t>- תאגיד לשם עזרה הדדית ועזרת גומלין, תוך ערבות הדדית של החברים.</w:t>
      </w:r>
    </w:p>
    <w:p w:rsidR="005F1222" w:rsidRPr="002015B0" w:rsidRDefault="005F1222" w:rsidP="005F1222">
      <w:pPr>
        <w:pStyle w:val="NormalWeb"/>
        <w:bidi/>
        <w:spacing w:beforeAutospacing="0" w:after="0" w:afterAutospacing="0"/>
        <w:ind w:right="113"/>
        <w:jc w:val="both"/>
        <w:rPr>
          <w:rFonts w:ascii="Arial" w:hAnsi="Arial" w:cs="David"/>
          <w:rtl/>
        </w:rPr>
      </w:pPr>
      <w:r w:rsidRPr="002015B0">
        <w:rPr>
          <w:rFonts w:ascii="Arial" w:hAnsi="Arial" w:cs="David"/>
          <w:b/>
          <w:bCs/>
          <w:rtl/>
        </w:rPr>
        <w:t>אגרת חוב (אג"ח)</w:t>
      </w:r>
      <w:r w:rsidRPr="002015B0">
        <w:rPr>
          <w:rFonts w:ascii="Arial" w:hAnsi="Arial" w:cs="David"/>
          <w:rtl/>
        </w:rPr>
        <w:t>- מסמך שמאשר שניתנה הלוואה לחברה תמורת שיעבוד חלק מנכסי החברה כבטוחה להחזר ההלוואה. יחסית לבעל המניות, בעל האג"ח מובטח יותר ובעל המניות מסתכן יותר.</w:t>
      </w:r>
    </w:p>
    <w:p w:rsidR="005F1222" w:rsidRPr="002015B0" w:rsidRDefault="005F1222" w:rsidP="005F1222">
      <w:pPr>
        <w:pStyle w:val="NormalWeb"/>
        <w:bidi/>
        <w:spacing w:beforeAutospacing="0" w:after="0" w:afterAutospacing="0"/>
        <w:ind w:right="113"/>
        <w:jc w:val="both"/>
        <w:rPr>
          <w:rFonts w:ascii="Arial" w:hAnsi="Arial" w:cs="David"/>
          <w:rtl/>
        </w:rPr>
      </w:pPr>
      <w:r w:rsidRPr="002015B0">
        <w:rPr>
          <w:rFonts w:ascii="Arial" w:hAnsi="Arial" w:cs="David"/>
          <w:b/>
          <w:bCs/>
          <w:rtl/>
        </w:rPr>
        <w:t>אדישות</w:t>
      </w:r>
      <w:r w:rsidRPr="002015B0">
        <w:rPr>
          <w:rFonts w:ascii="Arial" w:hAnsi="Arial" w:cs="David"/>
          <w:rtl/>
        </w:rPr>
        <w:t>- חוסר אכפתיות לגבי אפשרות התרחשות התוצאה האסורה.</w:t>
      </w:r>
    </w:p>
    <w:p w:rsidR="00605B50" w:rsidRPr="002015B0" w:rsidRDefault="00605B50" w:rsidP="00605B50">
      <w:pPr>
        <w:pStyle w:val="NormalWeb"/>
        <w:bidi/>
        <w:spacing w:beforeAutospacing="0" w:after="0" w:afterAutospacing="0"/>
        <w:ind w:right="113"/>
        <w:jc w:val="both"/>
        <w:rPr>
          <w:rFonts w:ascii="Arial" w:hAnsi="Arial" w:cs="David"/>
          <w:rtl/>
        </w:rPr>
      </w:pPr>
      <w:r w:rsidRPr="002015B0">
        <w:rPr>
          <w:rFonts w:ascii="Arial" w:hAnsi="Arial" w:cs="David"/>
          <w:b/>
          <w:bCs/>
          <w:rtl/>
        </w:rPr>
        <w:t>אובדן השתכרות</w:t>
      </w:r>
      <w:r w:rsidRPr="002015B0">
        <w:rPr>
          <w:rFonts w:ascii="Arial" w:hAnsi="Arial" w:cs="David"/>
          <w:rtl/>
        </w:rPr>
        <w:t xml:space="preserve">- ראש נזק המתאר את הפסדי השכר אשר נגרמו לניזוק בתקופה בה לא עבד (ו/או בתקופה בה לא יעבוד בעתיד) בשל נזקי ומגבלות הגוף שנגרמו לו כתוצאה מהעוולה. </w:t>
      </w:r>
    </w:p>
    <w:p w:rsidR="005F1222" w:rsidRPr="002015B0" w:rsidRDefault="005F1222" w:rsidP="005F1222">
      <w:pPr>
        <w:pStyle w:val="NormalWeb"/>
        <w:bidi/>
        <w:spacing w:beforeAutospacing="0" w:after="0" w:afterAutospacing="0"/>
        <w:ind w:right="113"/>
        <w:jc w:val="both"/>
        <w:rPr>
          <w:rFonts w:ascii="Arial" w:hAnsi="Arial" w:cs="David"/>
          <w:rtl/>
        </w:rPr>
      </w:pPr>
      <w:r w:rsidRPr="002015B0">
        <w:rPr>
          <w:rFonts w:ascii="Arial" w:hAnsi="Arial" w:cs="David"/>
          <w:b/>
          <w:bCs/>
          <w:rtl/>
        </w:rPr>
        <w:t>אוביטר דיקטום</w:t>
      </w:r>
      <w:r w:rsidRPr="002015B0">
        <w:rPr>
          <w:rFonts w:ascii="Arial" w:hAnsi="Arial" w:cs="David"/>
          <w:rtl/>
        </w:rPr>
        <w:t>- המעטפת (ההקדמה) שנותן השופט לפני נימוק החלטתו לפסק-דין זה או אחר (הרציו). הרציו נשען על האוביטר.</w:t>
      </w:r>
    </w:p>
    <w:p w:rsidR="005F1222" w:rsidRPr="002015B0" w:rsidRDefault="005F1222" w:rsidP="005F1222">
      <w:pPr>
        <w:pStyle w:val="NormalWeb"/>
        <w:bidi/>
        <w:spacing w:beforeAutospacing="0" w:after="0" w:afterAutospacing="0"/>
        <w:ind w:right="113"/>
        <w:jc w:val="both"/>
        <w:rPr>
          <w:rFonts w:ascii="Arial" w:hAnsi="Arial" w:cs="David"/>
        </w:rPr>
      </w:pPr>
      <w:r w:rsidRPr="002015B0">
        <w:rPr>
          <w:rFonts w:ascii="Arial" w:hAnsi="Arial" w:cs="David"/>
          <w:b/>
          <w:bCs/>
          <w:rtl/>
        </w:rPr>
        <w:t>אחריות חמורה</w:t>
      </w:r>
      <w:r w:rsidRPr="002015B0">
        <w:rPr>
          <w:rFonts w:ascii="Arial" w:hAnsi="Arial" w:cs="David"/>
          <w:rtl/>
        </w:rPr>
        <w:t xml:space="preserve">- אחריות שמוטלת על המזיק ללא אשם, אך במקרים </w:t>
      </w:r>
      <w:r w:rsidR="001F6F9D" w:rsidRPr="002015B0">
        <w:rPr>
          <w:rFonts w:ascii="Arial" w:hAnsi="Arial" w:cs="David" w:hint="cs"/>
          <w:rtl/>
        </w:rPr>
        <w:t>מסוימים</w:t>
      </w:r>
      <w:r w:rsidRPr="002015B0">
        <w:rPr>
          <w:rFonts w:ascii="Arial" w:hAnsi="Arial" w:cs="David"/>
          <w:rtl/>
        </w:rPr>
        <w:t xml:space="preserve"> יהיו למזיק הגנות כנגד קביעת אשמתו.</w:t>
      </w:r>
    </w:p>
    <w:p w:rsidR="005F1222" w:rsidRPr="002015B0" w:rsidRDefault="005F1222" w:rsidP="005F1222">
      <w:pPr>
        <w:pStyle w:val="NormalWeb"/>
        <w:bidi/>
        <w:spacing w:beforeAutospacing="0" w:after="0" w:afterAutospacing="0"/>
        <w:ind w:right="113"/>
        <w:jc w:val="both"/>
        <w:rPr>
          <w:rFonts w:ascii="Arial" w:hAnsi="Arial" w:cs="David"/>
        </w:rPr>
      </w:pPr>
      <w:r w:rsidRPr="002015B0">
        <w:rPr>
          <w:rFonts w:ascii="Arial" w:hAnsi="Arial" w:cs="David"/>
          <w:b/>
          <w:bCs/>
          <w:rtl/>
        </w:rPr>
        <w:t>אחריות מוגברת</w:t>
      </w:r>
      <w:r w:rsidRPr="002015B0">
        <w:rPr>
          <w:rFonts w:ascii="Arial" w:hAnsi="Arial" w:cs="David"/>
          <w:rtl/>
        </w:rPr>
        <w:t>- אחריות הדורשת יסוד של אשמה, אך הנטל הוא על המזיק להוכיח כי לא התרשל.</w:t>
      </w:r>
    </w:p>
    <w:p w:rsidR="005F1222" w:rsidRPr="002015B0" w:rsidRDefault="005F1222" w:rsidP="005F1222">
      <w:pPr>
        <w:pStyle w:val="NormalWeb"/>
        <w:bidi/>
        <w:spacing w:beforeAutospacing="0" w:after="0" w:afterAutospacing="0"/>
        <w:ind w:right="113"/>
        <w:jc w:val="both"/>
        <w:rPr>
          <w:rFonts w:ascii="Arial" w:hAnsi="Arial" w:cs="David"/>
          <w:rtl/>
        </w:rPr>
      </w:pPr>
      <w:r w:rsidRPr="002015B0">
        <w:rPr>
          <w:rFonts w:ascii="Arial" w:hAnsi="Arial" w:cs="David"/>
          <w:b/>
          <w:bCs/>
          <w:rtl/>
        </w:rPr>
        <w:t>אחריות מוחלטת</w:t>
      </w:r>
      <w:r w:rsidRPr="002015B0">
        <w:rPr>
          <w:rFonts w:ascii="Arial" w:hAnsi="Arial" w:cs="David"/>
          <w:rtl/>
        </w:rPr>
        <w:t>- אחריות שמוטלת על המזיק ללא אשם וללא מתן אפשרות לטעון טענות הגנה.</w:t>
      </w:r>
    </w:p>
    <w:p w:rsidR="005F1222" w:rsidRPr="002015B0" w:rsidRDefault="005F1222" w:rsidP="005F1222">
      <w:pPr>
        <w:pStyle w:val="NormalWeb"/>
        <w:bidi/>
        <w:spacing w:beforeAutospacing="0" w:after="0" w:afterAutospacing="0"/>
        <w:ind w:right="113"/>
        <w:jc w:val="both"/>
        <w:rPr>
          <w:rFonts w:ascii="Arial" w:hAnsi="Arial" w:cs="David"/>
          <w:rtl/>
        </w:rPr>
      </w:pPr>
      <w:r w:rsidRPr="002015B0">
        <w:rPr>
          <w:rFonts w:ascii="Arial" w:hAnsi="Arial" w:cs="David"/>
          <w:b/>
          <w:bCs/>
          <w:rtl/>
        </w:rPr>
        <w:t>אחריות קפידה</w:t>
      </w:r>
      <w:r w:rsidRPr="002015B0">
        <w:rPr>
          <w:rFonts w:ascii="Arial" w:hAnsi="Arial" w:cs="David"/>
          <w:rtl/>
        </w:rPr>
        <w:t>- מצב בו אדם מוחזק כאשם בעבירה פלילית, זאת רק מעצם ביצוע המעשה עצמו (יש אקטוס-ריאוס), אפילו ללא צורך בהוכחת יסוד נפשי כלשהו (בין בפועל ובין בכוח). כלומר, עצם העובדה שהמעשה בוצע מספיקה כדי להטיל אחריות פלילית על העושה. האחריות הקפידה היא הרמה הנמוכה ביותר של היסוד הנפשי.</w:t>
      </w:r>
    </w:p>
    <w:p w:rsidR="005F1222" w:rsidRPr="002015B0" w:rsidRDefault="005F1222" w:rsidP="005F1222">
      <w:pPr>
        <w:pStyle w:val="NormalWeb"/>
        <w:bidi/>
        <w:spacing w:beforeAutospacing="0" w:after="0" w:afterAutospacing="0"/>
        <w:ind w:right="113"/>
        <w:jc w:val="both"/>
        <w:rPr>
          <w:rFonts w:ascii="Arial" w:hAnsi="Arial" w:cs="David"/>
        </w:rPr>
      </w:pPr>
      <w:r w:rsidRPr="002015B0">
        <w:rPr>
          <w:rFonts w:ascii="Arial" w:hAnsi="Arial" w:cs="David"/>
          <w:b/>
          <w:bCs/>
          <w:rtl/>
        </w:rPr>
        <w:t>אחריות רגילה</w:t>
      </w:r>
      <w:r w:rsidRPr="002015B0">
        <w:rPr>
          <w:rFonts w:ascii="Arial" w:hAnsi="Arial" w:cs="David"/>
          <w:rtl/>
        </w:rPr>
        <w:t>- אחריות הדורשת יסוד של אשמה, כאשר הנטל על הניזוק להוכיח את אשמתו של המזיק.</w:t>
      </w:r>
    </w:p>
    <w:p w:rsidR="005F1222" w:rsidRPr="002015B0" w:rsidRDefault="005F1222" w:rsidP="005F1222">
      <w:pPr>
        <w:pStyle w:val="NormalWeb"/>
        <w:bidi/>
        <w:spacing w:beforeAutospacing="0" w:after="0" w:afterAutospacing="0"/>
        <w:ind w:right="113"/>
        <w:jc w:val="both"/>
        <w:rPr>
          <w:rFonts w:ascii="Arial" w:hAnsi="Arial" w:cs="David"/>
        </w:rPr>
      </w:pPr>
      <w:r w:rsidRPr="002015B0">
        <w:rPr>
          <w:rFonts w:ascii="Arial" w:hAnsi="Arial" w:cs="David"/>
          <w:b/>
          <w:bCs/>
          <w:rtl/>
        </w:rPr>
        <w:t>אחריות שילוחית</w:t>
      </w:r>
      <w:r w:rsidRPr="002015B0">
        <w:rPr>
          <w:rFonts w:ascii="Arial" w:hAnsi="Arial" w:cs="David"/>
          <w:rtl/>
        </w:rPr>
        <w:t>- אחריות שמוטלת על אדם בשל מעשיו/מחדליו של אדם אחר שיש זיקה ביניהם.</w:t>
      </w:r>
      <w:r w:rsidRPr="002015B0">
        <w:rPr>
          <w:rFonts w:ascii="Arial" w:hAnsi="Arial" w:cs="David"/>
        </w:rPr>
        <w:t xml:space="preserve"> </w:t>
      </w:r>
    </w:p>
    <w:p w:rsidR="005F1222" w:rsidRPr="0045569A" w:rsidRDefault="005F1222" w:rsidP="005F1222">
      <w:pPr>
        <w:spacing w:before="100" w:after="0" w:line="240" w:lineRule="auto"/>
        <w:ind w:right="113"/>
        <w:jc w:val="both"/>
        <w:rPr>
          <w:rFonts w:ascii="Arial" w:eastAsia="Times New Roman" w:hAnsi="Arial" w:cs="David"/>
          <w:sz w:val="24"/>
          <w:szCs w:val="24"/>
          <w:rtl/>
        </w:rPr>
      </w:pPr>
      <w:r w:rsidRPr="0045569A">
        <w:rPr>
          <w:rFonts w:ascii="Arial" w:eastAsia="Times New Roman" w:hAnsi="Arial" w:cs="David"/>
          <w:b/>
          <w:bCs/>
          <w:sz w:val="24"/>
          <w:szCs w:val="24"/>
          <w:rtl/>
        </w:rPr>
        <w:t>אין עבירה ללא אשמה (</w:t>
      </w:r>
      <w:r w:rsidRPr="0045569A">
        <w:rPr>
          <w:rFonts w:ascii="Arial" w:eastAsia="Times New Roman" w:hAnsi="Arial" w:cs="David"/>
          <w:b/>
          <w:bCs/>
          <w:sz w:val="24"/>
          <w:szCs w:val="24"/>
        </w:rPr>
        <w:t>Nullum Crimen Sine Culpa</w:t>
      </w:r>
      <w:r>
        <w:rPr>
          <w:rFonts w:ascii="Arial" w:eastAsia="Times New Roman" w:hAnsi="Arial" w:cs="David"/>
          <w:b/>
          <w:bCs/>
          <w:sz w:val="24"/>
          <w:szCs w:val="24"/>
          <w:rtl/>
        </w:rPr>
        <w:t>)</w:t>
      </w:r>
      <w:r w:rsidRPr="0045569A">
        <w:rPr>
          <w:rFonts w:ascii="Arial" w:eastAsia="Times New Roman" w:hAnsi="Arial" w:cs="David"/>
          <w:sz w:val="24"/>
          <w:szCs w:val="24"/>
          <w:rtl/>
        </w:rPr>
        <w:t xml:space="preserve">- עקרון בדיני עונשין הקובע כי עצם הביצוע של המעשה לא מספיק על-מנת להחזיק אדם אחראי בפלילים ויש צורך גם באשמה. </w:t>
      </w:r>
    </w:p>
    <w:p w:rsidR="005F1222" w:rsidRPr="0045569A" w:rsidRDefault="005F1222" w:rsidP="005F1222">
      <w:pPr>
        <w:spacing w:before="100" w:after="0" w:line="240" w:lineRule="auto"/>
        <w:ind w:right="113"/>
        <w:jc w:val="both"/>
        <w:rPr>
          <w:rFonts w:ascii="Arial" w:eastAsia="Times New Roman" w:hAnsi="Arial" w:cs="David"/>
          <w:sz w:val="24"/>
          <w:szCs w:val="24"/>
          <w:rtl/>
        </w:rPr>
      </w:pPr>
      <w:r w:rsidRPr="0045569A">
        <w:rPr>
          <w:rFonts w:ascii="Arial" w:eastAsia="Times New Roman" w:hAnsi="Arial" w:cs="David"/>
          <w:b/>
          <w:bCs/>
          <w:sz w:val="24"/>
          <w:szCs w:val="24"/>
          <w:rtl/>
        </w:rPr>
        <w:t>אין עבירה ללא חוק (</w:t>
      </w:r>
      <w:r w:rsidRPr="0045569A">
        <w:rPr>
          <w:rFonts w:ascii="Arial" w:eastAsia="Times New Roman" w:hAnsi="Arial" w:cs="David"/>
          <w:b/>
          <w:bCs/>
          <w:sz w:val="24"/>
          <w:szCs w:val="24"/>
        </w:rPr>
        <w:t>Nullum Crimen Sine Lege</w:t>
      </w:r>
      <w:r>
        <w:rPr>
          <w:rFonts w:ascii="Arial" w:eastAsia="Times New Roman" w:hAnsi="Arial" w:cs="David"/>
          <w:b/>
          <w:bCs/>
          <w:sz w:val="24"/>
          <w:szCs w:val="24"/>
          <w:rtl/>
        </w:rPr>
        <w:t>)</w:t>
      </w:r>
      <w:r w:rsidRPr="0045569A">
        <w:rPr>
          <w:rFonts w:ascii="Arial" w:eastAsia="Times New Roman" w:hAnsi="Arial" w:cs="David"/>
          <w:sz w:val="24"/>
          <w:szCs w:val="24"/>
          <w:rtl/>
        </w:rPr>
        <w:t>- עקרון בדיני עונשין הקובע שעבירה חייבת להיות הפרה של חוק ולא רק גרימה של נזק.</w:t>
      </w:r>
    </w:p>
    <w:p w:rsidR="005F1222" w:rsidRPr="0045569A" w:rsidRDefault="005F1222" w:rsidP="005F1222">
      <w:pPr>
        <w:spacing w:before="100" w:after="0" w:line="240" w:lineRule="auto"/>
        <w:ind w:right="113"/>
        <w:jc w:val="both"/>
        <w:rPr>
          <w:rFonts w:ascii="Arial" w:eastAsia="Times New Roman" w:hAnsi="Arial" w:cs="David"/>
          <w:b/>
          <w:bCs/>
          <w:sz w:val="24"/>
          <w:szCs w:val="24"/>
          <w:rtl/>
        </w:rPr>
      </w:pPr>
      <w:r w:rsidRPr="0045569A">
        <w:rPr>
          <w:rFonts w:ascii="Arial" w:eastAsia="Times New Roman" w:hAnsi="Arial" w:cs="David"/>
          <w:b/>
          <w:bCs/>
          <w:sz w:val="24"/>
          <w:szCs w:val="24"/>
          <w:rtl/>
        </w:rPr>
        <w:t>אין עונשין על דברים שבלב (</w:t>
      </w:r>
      <w:r w:rsidRPr="0045569A">
        <w:rPr>
          <w:rFonts w:ascii="Arial" w:eastAsia="Times New Roman" w:hAnsi="Arial" w:cs="David"/>
          <w:b/>
          <w:bCs/>
          <w:sz w:val="24"/>
          <w:szCs w:val="24"/>
        </w:rPr>
        <w:t>Nullum Crimen Sine Actum</w:t>
      </w:r>
      <w:r w:rsidRPr="0045569A">
        <w:rPr>
          <w:rFonts w:ascii="Arial" w:eastAsia="Times New Roman" w:hAnsi="Arial" w:cs="David"/>
          <w:b/>
          <w:bCs/>
          <w:sz w:val="24"/>
          <w:szCs w:val="24"/>
          <w:rtl/>
        </w:rPr>
        <w:t>)</w:t>
      </w:r>
      <w:r w:rsidRPr="0045569A">
        <w:rPr>
          <w:rFonts w:ascii="Arial" w:eastAsia="Times New Roman" w:hAnsi="Arial" w:cs="David"/>
          <w:sz w:val="24"/>
          <w:szCs w:val="24"/>
          <w:rtl/>
        </w:rPr>
        <w:t>- עקרון בדיני עונשין הקובע כי אין עבירה ללא מעשה.</w:t>
      </w:r>
    </w:p>
    <w:p w:rsidR="00895FDA" w:rsidRPr="0045569A" w:rsidRDefault="00895FDA" w:rsidP="00895FDA">
      <w:pPr>
        <w:spacing w:before="100" w:after="0" w:line="240" w:lineRule="auto"/>
        <w:ind w:right="113"/>
        <w:jc w:val="both"/>
        <w:rPr>
          <w:rFonts w:ascii="Arial" w:eastAsia="Times New Roman" w:hAnsi="Arial" w:cs="David"/>
          <w:sz w:val="24"/>
          <w:szCs w:val="24"/>
          <w:rtl/>
        </w:rPr>
      </w:pPr>
      <w:r>
        <w:rPr>
          <w:rFonts w:ascii="Arial" w:eastAsia="Times New Roman" w:hAnsi="Arial" w:cs="David"/>
          <w:b/>
          <w:bCs/>
          <w:sz w:val="24"/>
          <w:szCs w:val="24"/>
          <w:rtl/>
        </w:rPr>
        <w:t>איסור רטרואקטיביות</w:t>
      </w:r>
      <w:r w:rsidRPr="0045569A">
        <w:rPr>
          <w:rFonts w:ascii="Arial" w:eastAsia="Times New Roman" w:hAnsi="Arial" w:cs="David"/>
          <w:sz w:val="24"/>
          <w:szCs w:val="24"/>
          <w:rtl/>
        </w:rPr>
        <w:t>- אחד מרכיביו של עקרון החוקיות, ולפיו עבירות פליליות (וגם החמרה בעונש) אינן חלות באופן רטרואקטיבי, אלא מכאן והלאה.</w:t>
      </w:r>
    </w:p>
    <w:p w:rsidR="00605B50" w:rsidRPr="002015B0" w:rsidRDefault="00605B50" w:rsidP="00605B50">
      <w:pPr>
        <w:pStyle w:val="NormalWeb"/>
        <w:bidi/>
        <w:spacing w:beforeAutospacing="0" w:after="0" w:afterAutospacing="0"/>
        <w:ind w:right="113"/>
        <w:jc w:val="both"/>
        <w:rPr>
          <w:rFonts w:ascii="Arial" w:hAnsi="Arial" w:cs="David"/>
          <w:rtl/>
        </w:rPr>
      </w:pPr>
      <w:r w:rsidRPr="002015B0">
        <w:rPr>
          <w:rFonts w:ascii="Arial" w:hAnsi="Arial" w:cs="David"/>
          <w:b/>
          <w:bCs/>
          <w:rtl/>
        </w:rPr>
        <w:t>אישיות משפטית</w:t>
      </w:r>
      <w:r w:rsidRPr="002015B0">
        <w:rPr>
          <w:rFonts w:ascii="Arial" w:hAnsi="Arial" w:cs="David"/>
          <w:rtl/>
        </w:rPr>
        <w:t>- הכרת השיטה המשפטית בתופעה פלונית כבעלת זכויות וחובות במשפט.</w:t>
      </w:r>
    </w:p>
    <w:p w:rsidR="00605B50" w:rsidRPr="002015B0" w:rsidRDefault="00605B50" w:rsidP="00605B50">
      <w:pPr>
        <w:pStyle w:val="NormalWeb"/>
        <w:bidi/>
        <w:spacing w:beforeAutospacing="0" w:after="0" w:afterAutospacing="0"/>
        <w:ind w:right="113"/>
        <w:jc w:val="both"/>
        <w:rPr>
          <w:rFonts w:ascii="Arial" w:hAnsi="Arial" w:cs="David"/>
          <w:rtl/>
        </w:rPr>
      </w:pPr>
      <w:r w:rsidRPr="002015B0">
        <w:rPr>
          <w:rFonts w:ascii="Arial" w:hAnsi="Arial" w:cs="David"/>
          <w:b/>
          <w:bCs/>
          <w:rtl/>
        </w:rPr>
        <w:t>אישיות משפטית נפרדת</w:t>
      </w:r>
      <w:r w:rsidRPr="002015B0">
        <w:rPr>
          <w:rFonts w:ascii="Arial" w:hAnsi="Arial" w:cs="David"/>
          <w:rtl/>
        </w:rPr>
        <w:t>- גוף משפטי תאגידי שיש לו הכשרות לחוב ולזכות באופן עצמאי, כאשר לאותם פרטים יחידים שהקימו את התאגיד אין חלק בחובות ו/או בזכויות התאגיד. האישיות המשפטית היא נפרדת, שהרי חובות/זכויות התאגיד נפרדים מהחובות/זכויות של היחידים שמרכיבים אותו.</w:t>
      </w:r>
    </w:p>
    <w:p w:rsidR="005F1222" w:rsidRPr="002015B0" w:rsidRDefault="005F1222" w:rsidP="005F1222">
      <w:pPr>
        <w:pStyle w:val="NormalWeb"/>
        <w:bidi/>
        <w:spacing w:beforeAutospacing="0" w:after="0" w:afterAutospacing="0"/>
        <w:ind w:right="113"/>
        <w:jc w:val="both"/>
        <w:rPr>
          <w:rFonts w:ascii="Arial" w:hAnsi="Arial" w:cs="David"/>
          <w:rtl/>
        </w:rPr>
      </w:pPr>
      <w:r w:rsidRPr="002015B0">
        <w:rPr>
          <w:rFonts w:ascii="Arial" w:hAnsi="Arial" w:cs="David"/>
          <w:b/>
          <w:bCs/>
          <w:rtl/>
        </w:rPr>
        <w:t>אכיפת ההסכם</w:t>
      </w:r>
      <w:r w:rsidRPr="002015B0">
        <w:rPr>
          <w:rFonts w:ascii="Arial" w:hAnsi="Arial" w:cs="David"/>
          <w:rtl/>
        </w:rPr>
        <w:t>- צו עשה או לצו לא-תעשה, לרבות צו לתיקון תוצאות הפרת ההסכם, אשר ניתן על-ידי בית המשפט לבקשתו של הצד הנפגע (מי שהחוזה כלפיו הופר), אלא אם כן החוזה איננו ניתן לאכיפה בתנאים האמורים בסעיף 3 לחוק החוזים (תרופות בשל הפרת חוזה), תשל"א-1970.</w:t>
      </w:r>
    </w:p>
    <w:p w:rsidR="00895FDA" w:rsidRPr="002015B0" w:rsidRDefault="00895FDA" w:rsidP="00895FDA">
      <w:pPr>
        <w:pStyle w:val="NormalWeb"/>
        <w:bidi/>
        <w:spacing w:beforeAutospacing="0" w:after="0" w:afterAutospacing="0"/>
        <w:ind w:right="113"/>
        <w:jc w:val="both"/>
        <w:rPr>
          <w:rFonts w:ascii="Arial" w:hAnsi="Arial" w:cs="David"/>
          <w:rtl/>
        </w:rPr>
      </w:pPr>
      <w:r w:rsidRPr="002015B0">
        <w:rPr>
          <w:rFonts w:ascii="Arial" w:hAnsi="Arial" w:cs="David"/>
          <w:b/>
          <w:bCs/>
          <w:rtl/>
        </w:rPr>
        <w:t>אסיפה כללית (אסיפה כללית של בעלי המניות)</w:t>
      </w:r>
      <w:r w:rsidRPr="002015B0">
        <w:rPr>
          <w:rFonts w:ascii="Arial" w:hAnsi="Arial" w:cs="David"/>
          <w:rtl/>
        </w:rPr>
        <w:t>- אסיפה שנתית רגילה של בעלי המניות של החברה המתכנסת אחת לשנה לדיון בדוחות הכספיים, בדוחות הדירקטוריון, בדו"ח הרואה חשבון, בבחירת בדירקטורים וקביעת שכרם, וכן בנושאים נוספים שנקבעו בתקנון שיידונו באסיפה הכללית; או אסיפה שלא מן המניין (כל אסיפה שהיא איננה אסיפה שנתית רגילה היא אסיפה שלא מן המניין).</w:t>
      </w:r>
    </w:p>
    <w:p w:rsidR="000662D9" w:rsidRPr="0045569A" w:rsidRDefault="000662D9" w:rsidP="000662D9">
      <w:pPr>
        <w:spacing w:before="100" w:after="0" w:line="240" w:lineRule="auto"/>
        <w:ind w:right="113"/>
        <w:jc w:val="both"/>
        <w:rPr>
          <w:rFonts w:ascii="Arial" w:eastAsia="Times New Roman" w:hAnsi="Arial" w:cs="David"/>
          <w:sz w:val="24"/>
          <w:szCs w:val="24"/>
          <w:rtl/>
        </w:rPr>
      </w:pPr>
      <w:r>
        <w:rPr>
          <w:rFonts w:ascii="Arial" w:eastAsia="Times New Roman" w:hAnsi="Arial" w:cs="David"/>
          <w:b/>
          <w:bCs/>
          <w:sz w:val="24"/>
          <w:szCs w:val="24"/>
          <w:rtl/>
        </w:rPr>
        <w:t>בהירות/וודאות</w:t>
      </w:r>
      <w:r w:rsidRPr="0045569A">
        <w:rPr>
          <w:rFonts w:ascii="Arial" w:eastAsia="Times New Roman" w:hAnsi="Arial" w:cs="David"/>
          <w:sz w:val="24"/>
          <w:szCs w:val="24"/>
          <w:rtl/>
        </w:rPr>
        <w:t>- אחד מרכיביו של עקרון החוקיות, ולפיו החוקים הפליליים צריכים להיות בהירים ו-וודאיים.</w:t>
      </w:r>
    </w:p>
    <w:p w:rsidR="007E06AD" w:rsidRPr="002015B0" w:rsidRDefault="007E06AD" w:rsidP="007E06AD">
      <w:pPr>
        <w:pStyle w:val="NormalWeb"/>
        <w:bidi/>
        <w:spacing w:beforeAutospacing="0" w:after="0" w:afterAutospacing="0"/>
        <w:ind w:right="113"/>
        <w:jc w:val="both"/>
        <w:rPr>
          <w:rFonts w:ascii="Arial" w:hAnsi="Arial" w:cs="David"/>
          <w:rtl/>
        </w:rPr>
      </w:pPr>
      <w:r w:rsidRPr="002015B0">
        <w:rPr>
          <w:rFonts w:ascii="Arial" w:hAnsi="Arial" w:cs="David"/>
          <w:b/>
          <w:bCs/>
          <w:rtl/>
        </w:rPr>
        <w:t>בורסה לניירות ערך</w:t>
      </w:r>
      <w:r w:rsidRPr="002015B0">
        <w:rPr>
          <w:rFonts w:ascii="Arial" w:hAnsi="Arial" w:cs="David"/>
          <w:rtl/>
        </w:rPr>
        <w:t>- שוק מאורגן ורצוף בו סוחרים בניירות ערך, אשר מגביל את המסחר בו לחברים בו בלבד, אשר מסדיר את עצמו ואשר מפקח על הנכסים הנסחרים בו. זהו המקום בו נערך המסחר בניירות ערך.</w:t>
      </w:r>
    </w:p>
    <w:p w:rsidR="005F1222" w:rsidRPr="002015B0" w:rsidRDefault="005F1222" w:rsidP="005F1222">
      <w:pPr>
        <w:pStyle w:val="NormalWeb"/>
        <w:bidi/>
        <w:spacing w:beforeAutospacing="0" w:after="0" w:afterAutospacing="0"/>
        <w:ind w:right="113"/>
        <w:jc w:val="both"/>
        <w:rPr>
          <w:rFonts w:cs="David"/>
          <w:rtl/>
        </w:rPr>
      </w:pPr>
      <w:r w:rsidRPr="002015B0">
        <w:rPr>
          <w:rFonts w:ascii="Arial" w:hAnsi="Arial" w:cs="David"/>
          <w:b/>
          <w:bCs/>
          <w:rtl/>
        </w:rPr>
        <w:t>בוררות</w:t>
      </w:r>
      <w:r w:rsidRPr="002015B0">
        <w:rPr>
          <w:rFonts w:ascii="Arial" w:hAnsi="Arial" w:cs="David"/>
          <w:rtl/>
        </w:rPr>
        <w:t>- דרך אלטרנטיבית לפתרון מחלוקות בטרם פנייה לבית המשפט, במסגרתה צד שלישי ניטראלי מכריע בסכסוך אזרחי שבין אנשים. ‏המקור המשפטי להליך הגישור מצוי בסעיף 79ב לחוק בתי המשפט (נוסח משולב), התשמ"ד-19</w:t>
      </w:r>
    </w:p>
    <w:p w:rsidR="007E06AD" w:rsidRPr="002015B0" w:rsidRDefault="007E06AD" w:rsidP="007E06AD">
      <w:pPr>
        <w:pStyle w:val="NormalWeb"/>
        <w:bidi/>
        <w:spacing w:beforeAutospacing="0" w:after="0" w:afterAutospacing="0"/>
        <w:ind w:right="113"/>
        <w:jc w:val="both"/>
        <w:rPr>
          <w:rFonts w:ascii="Arial" w:hAnsi="Arial" w:cs="David"/>
          <w:rtl/>
        </w:rPr>
      </w:pPr>
      <w:r w:rsidRPr="002015B0">
        <w:rPr>
          <w:rFonts w:ascii="Arial" w:hAnsi="Arial" w:cs="David"/>
          <w:b/>
          <w:bCs/>
          <w:rtl/>
        </w:rPr>
        <w:t>ביטול החוזה</w:t>
      </w:r>
      <w:r w:rsidRPr="002015B0">
        <w:rPr>
          <w:rFonts w:ascii="Arial" w:hAnsi="Arial" w:cs="David"/>
          <w:rtl/>
        </w:rPr>
        <w:t>- הסעד העיקרי אותו מעניק הדין לנפגע בעת הפרת ההסכם הוא סעד האכיפה, אולם הדין מכיר גם בזכותו של הנפגע מהפרה יסודית של החוזה לבטל את החוזה, כסעד אלטרנטיבי לסעד האכיפה.</w:t>
      </w:r>
    </w:p>
    <w:p w:rsidR="007E06AD" w:rsidRPr="002015B0" w:rsidRDefault="007E06AD" w:rsidP="007E06AD">
      <w:pPr>
        <w:pStyle w:val="NormalWeb"/>
        <w:bidi/>
        <w:spacing w:beforeAutospacing="0" w:after="0" w:afterAutospacing="0"/>
        <w:ind w:right="113"/>
        <w:jc w:val="both"/>
        <w:rPr>
          <w:rFonts w:ascii="Arial" w:hAnsi="Arial" w:cs="David"/>
          <w:rtl/>
        </w:rPr>
      </w:pPr>
      <w:r w:rsidRPr="002015B0">
        <w:rPr>
          <w:rFonts w:ascii="Arial" w:hAnsi="Arial" w:cs="David"/>
          <w:b/>
          <w:bCs/>
          <w:rtl/>
        </w:rPr>
        <w:t>בית הדין הרבני</w:t>
      </w:r>
      <w:r w:rsidRPr="002015B0">
        <w:rPr>
          <w:rFonts w:ascii="Arial" w:hAnsi="Arial" w:cs="David"/>
          <w:rtl/>
        </w:rPr>
        <w:t>- בית משפט אשר לו סמכויות השיפוט הבלעדיות בנושאים של נישואין וגירושין, וכן סמכות מקבילה (לזאת של בית המשפט לענייני משפחה) בעניינים של מזונות, החזקת ילדים, וחלוקת רכוש בין בני זוג. ערעור על פסק דינו של בית דין רבני אזורי נשמע בפני בית הדין הרבני הגדול בירושלים.</w:t>
      </w:r>
    </w:p>
    <w:p w:rsidR="007E06AD" w:rsidRPr="002015B0" w:rsidRDefault="007E06AD" w:rsidP="007E06AD">
      <w:pPr>
        <w:pStyle w:val="NormalWeb"/>
        <w:bidi/>
        <w:spacing w:beforeAutospacing="0" w:after="0" w:afterAutospacing="0"/>
        <w:ind w:right="113"/>
        <w:jc w:val="both"/>
        <w:rPr>
          <w:rFonts w:ascii="Arial" w:hAnsi="Arial" w:cs="David"/>
          <w:rtl/>
        </w:rPr>
      </w:pPr>
      <w:r w:rsidRPr="002015B0">
        <w:rPr>
          <w:rFonts w:ascii="Arial" w:hAnsi="Arial" w:cs="David"/>
          <w:b/>
          <w:bCs/>
          <w:rtl/>
        </w:rPr>
        <w:lastRenderedPageBreak/>
        <w:t>בית הדין לעבודה</w:t>
      </w:r>
      <w:r w:rsidRPr="002015B0">
        <w:rPr>
          <w:rFonts w:ascii="Arial" w:hAnsi="Arial" w:cs="David"/>
          <w:rtl/>
        </w:rPr>
        <w:t>- בית משפט אשר לו הסמכות הבלעדית לדון בתביעות שעניינן יחסי עובד-מעביד והתוצאות של יחסים אלה, הסכמים קיבוציים, קופות גמל, תביעות על-פי חוק הביטוח הלאומי וכן עניינים שונים הקבועים בחוק ביטוח בריאות ממלכתי. כערכה ראשונה של בית משפט זה משמשים בתי הדין האזוריים לעבודה, וכערכת ערעור עליהם משמש בית הדין הארצי לעבודה.</w:t>
      </w:r>
    </w:p>
    <w:p w:rsidR="001E2CE2" w:rsidRDefault="007E06AD" w:rsidP="007E06AD">
      <w:pPr>
        <w:pStyle w:val="NormalWeb"/>
        <w:bidi/>
        <w:spacing w:beforeAutospacing="0" w:after="0" w:afterAutospacing="0"/>
        <w:ind w:right="113"/>
        <w:jc w:val="both"/>
        <w:rPr>
          <w:rFonts w:ascii="Arial" w:hAnsi="Arial" w:cs="David" w:hint="cs"/>
          <w:b/>
          <w:bCs/>
          <w:rtl/>
        </w:rPr>
      </w:pPr>
      <w:r w:rsidRPr="007E06AD">
        <w:rPr>
          <w:rFonts w:ascii="Arial" w:hAnsi="Arial" w:cs="David"/>
          <w:b/>
          <w:bCs/>
          <w:rtl/>
        </w:rPr>
        <w:t>בית המשפט הגבוה לצדק (בג"צ)</w:t>
      </w:r>
      <w:r w:rsidRPr="007E06AD">
        <w:rPr>
          <w:rFonts w:ascii="Arial" w:hAnsi="Arial" w:cs="David"/>
          <w:rtl/>
        </w:rPr>
        <w:t>- בית המשפט העליון בשבתו כבית משפט גבוה לצדק. מוסמך לדון ולתת סעדים כנגד רשויות השלטון וזאת למען הצדק או אם הרשויות פעלו בחוסר סמכות או בחריגה ממנה, בחוסר סבירות, בחוסר מידתיות ועוד.</w:t>
      </w:r>
    </w:p>
    <w:p w:rsidR="007E06AD" w:rsidRPr="002015B0" w:rsidRDefault="007E06AD" w:rsidP="001E2CE2">
      <w:pPr>
        <w:pStyle w:val="NormalWeb"/>
        <w:bidi/>
        <w:spacing w:beforeAutospacing="0" w:after="0" w:afterAutospacing="0"/>
        <w:ind w:right="113"/>
        <w:jc w:val="both"/>
        <w:rPr>
          <w:rFonts w:ascii="Arial" w:hAnsi="Arial" w:cs="David"/>
          <w:rtl/>
        </w:rPr>
      </w:pPr>
      <w:r w:rsidRPr="002015B0">
        <w:rPr>
          <w:rFonts w:ascii="Arial" w:hAnsi="Arial" w:cs="David"/>
          <w:b/>
          <w:bCs/>
          <w:rtl/>
        </w:rPr>
        <w:t>בית המשפט המחוזי</w:t>
      </w:r>
      <w:r w:rsidRPr="002015B0">
        <w:rPr>
          <w:rFonts w:ascii="Arial" w:hAnsi="Arial" w:cs="David"/>
          <w:rtl/>
        </w:rPr>
        <w:t xml:space="preserve">- בית המשפט השני בהיררכיה השיפוטית במדינת ישראל. ביהמ"ש המחוזי מוסמך לדון בעבירות פליליות שהעונש </w:t>
      </w:r>
      <w:r w:rsidR="001E2CE2" w:rsidRPr="002015B0">
        <w:rPr>
          <w:rFonts w:ascii="Arial" w:hAnsi="Arial" w:cs="David" w:hint="cs"/>
          <w:rtl/>
        </w:rPr>
        <w:t>המרבי</w:t>
      </w:r>
      <w:r w:rsidRPr="002015B0">
        <w:rPr>
          <w:rFonts w:ascii="Arial" w:hAnsi="Arial" w:cs="David"/>
          <w:rtl/>
        </w:rPr>
        <w:t xml:space="preserve"> הקבוע לגביהן בחוק עולה על 7 שנות מאסר; בתביעות אזרחיות בהן סכום התביעה או שווי הנושא עולה על 2.5 מיליון ₪ (נכון לחודש 5/02); בכל ענייני המקרקעין (למעט אלה שבסמכות בית משפט השלום); ובערעורים על פסקי דין והחלטות אחרות של בית משפט השלום.</w:t>
      </w:r>
    </w:p>
    <w:p w:rsidR="007E06AD" w:rsidRPr="002015B0" w:rsidRDefault="007E06AD" w:rsidP="007E06AD">
      <w:pPr>
        <w:pStyle w:val="NormalWeb"/>
        <w:bidi/>
        <w:spacing w:beforeAutospacing="0" w:after="0" w:afterAutospacing="0"/>
        <w:ind w:right="113"/>
        <w:jc w:val="both"/>
        <w:rPr>
          <w:rFonts w:ascii="Arial" w:hAnsi="Arial" w:cs="David"/>
          <w:rtl/>
        </w:rPr>
      </w:pPr>
      <w:r w:rsidRPr="002015B0">
        <w:rPr>
          <w:rFonts w:ascii="Arial" w:hAnsi="Arial" w:cs="David"/>
          <w:b/>
          <w:bCs/>
          <w:rtl/>
        </w:rPr>
        <w:t>בית המשפט המחוזי בשבתו כבית משפט לעניינים מנהליים</w:t>
      </w:r>
      <w:r w:rsidRPr="002015B0">
        <w:rPr>
          <w:rFonts w:ascii="Arial" w:hAnsi="Arial" w:cs="David"/>
          <w:rtl/>
        </w:rPr>
        <w:t>- בית משפט מחוזי-מנהלי הפועל מכוח חוק בתי המשפט לעניינים מנהליים, התש"ס-2000, אשר מטרתו להסמיך באופן הדרגתי את בית המשפט המחוזי לדון בעניינים מנהליים שעד לאות</w:t>
      </w:r>
      <w:r w:rsidR="001E2CE2">
        <w:rPr>
          <w:rFonts w:ascii="Arial" w:hAnsi="Arial" w:cs="David"/>
          <w:rtl/>
        </w:rPr>
        <w:t>ו מועד נדונו בבג"</w:t>
      </w:r>
      <w:r w:rsidR="001E2CE2">
        <w:rPr>
          <w:rFonts w:ascii="Arial" w:hAnsi="Arial" w:cs="David" w:hint="cs"/>
          <w:rtl/>
        </w:rPr>
        <w:t>ץ</w:t>
      </w:r>
      <w:r w:rsidRPr="002015B0">
        <w:rPr>
          <w:rFonts w:ascii="Arial" w:hAnsi="Arial" w:cs="David"/>
          <w:rtl/>
        </w:rPr>
        <w:t>.</w:t>
      </w:r>
    </w:p>
    <w:p w:rsidR="007E06AD" w:rsidRPr="002015B0" w:rsidRDefault="007E06AD" w:rsidP="007E06AD">
      <w:pPr>
        <w:pStyle w:val="NormalWeb"/>
        <w:bidi/>
        <w:spacing w:beforeAutospacing="0" w:after="0" w:afterAutospacing="0"/>
        <w:ind w:right="113"/>
        <w:jc w:val="both"/>
        <w:rPr>
          <w:rFonts w:ascii="Arial" w:hAnsi="Arial" w:cs="David"/>
          <w:rtl/>
        </w:rPr>
      </w:pPr>
      <w:r w:rsidRPr="002015B0">
        <w:rPr>
          <w:rFonts w:ascii="Arial" w:hAnsi="Arial" w:cs="David"/>
          <w:b/>
          <w:bCs/>
          <w:rtl/>
        </w:rPr>
        <w:t>בית המשפט העליון</w:t>
      </w:r>
      <w:r w:rsidRPr="002015B0">
        <w:rPr>
          <w:rFonts w:ascii="Arial" w:hAnsi="Arial" w:cs="David"/>
          <w:rtl/>
        </w:rPr>
        <w:t>- בית המשפט הניצב בראש ההיררכיה המשפטית במדינה.</w:t>
      </w:r>
    </w:p>
    <w:p w:rsidR="007E06AD" w:rsidRPr="002015B0" w:rsidRDefault="007E06AD" w:rsidP="007E06AD">
      <w:pPr>
        <w:pStyle w:val="NormalWeb"/>
        <w:bidi/>
        <w:spacing w:beforeAutospacing="0" w:after="0" w:afterAutospacing="0"/>
        <w:ind w:right="113"/>
        <w:jc w:val="both"/>
        <w:rPr>
          <w:rFonts w:ascii="Arial" w:hAnsi="Arial" w:cs="David"/>
          <w:rtl/>
        </w:rPr>
      </w:pPr>
      <w:r w:rsidRPr="002015B0">
        <w:rPr>
          <w:rFonts w:ascii="Arial" w:hAnsi="Arial" w:cs="David"/>
          <w:b/>
          <w:bCs/>
          <w:rtl/>
        </w:rPr>
        <w:t>בית המשפט לנוער</w:t>
      </w:r>
      <w:r w:rsidRPr="002015B0">
        <w:rPr>
          <w:rFonts w:ascii="Arial" w:hAnsi="Arial" w:cs="David"/>
          <w:rtl/>
        </w:rPr>
        <w:t>- בית משפט שלום המוסמך לשפוט נאשמים קטינים שטרם מלאו להם 18 שנה ביום הגשת כתב אישום נגדם וכן לדון בעניינם של קטינים אשר הוריהם אינם מסוגלים לדאוג להם או לטפל בהם.</w:t>
      </w:r>
    </w:p>
    <w:p w:rsidR="007E06AD" w:rsidRPr="002015B0" w:rsidRDefault="007E06AD" w:rsidP="007E06AD">
      <w:pPr>
        <w:pStyle w:val="NormalWeb"/>
        <w:bidi/>
        <w:spacing w:beforeAutospacing="0" w:after="0" w:afterAutospacing="0"/>
        <w:ind w:right="113"/>
        <w:jc w:val="both"/>
        <w:rPr>
          <w:rFonts w:ascii="Arial" w:hAnsi="Arial" w:cs="David"/>
          <w:rtl/>
        </w:rPr>
      </w:pPr>
      <w:r w:rsidRPr="002015B0">
        <w:rPr>
          <w:rFonts w:ascii="Arial" w:hAnsi="Arial" w:cs="David"/>
          <w:b/>
          <w:bCs/>
          <w:rtl/>
        </w:rPr>
        <w:t>בית המשפט לענייני משפחה</w:t>
      </w:r>
      <w:r w:rsidRPr="002015B0">
        <w:rPr>
          <w:rFonts w:ascii="Arial" w:hAnsi="Arial" w:cs="David"/>
          <w:rtl/>
        </w:rPr>
        <w:t xml:space="preserve">- בית משפט במעמד של בית משפט שלום, אשר לו הסמכות הבלעדית לדון בתובענות בין בני משפחה בעניינים שונים, כגון אבהות, </w:t>
      </w:r>
      <w:r w:rsidR="001E2CE2" w:rsidRPr="002015B0">
        <w:rPr>
          <w:rFonts w:ascii="Arial" w:hAnsi="Arial" w:cs="David" w:hint="cs"/>
          <w:rtl/>
        </w:rPr>
        <w:t>אימהו</w:t>
      </w:r>
      <w:r w:rsidR="001E2CE2" w:rsidRPr="002015B0">
        <w:rPr>
          <w:rFonts w:ascii="Arial" w:hAnsi="Arial" w:cs="David" w:hint="eastAsia"/>
          <w:rtl/>
        </w:rPr>
        <w:t>ת</w:t>
      </w:r>
      <w:r w:rsidRPr="002015B0">
        <w:rPr>
          <w:rFonts w:ascii="Arial" w:hAnsi="Arial" w:cs="David"/>
          <w:rtl/>
        </w:rPr>
        <w:t>, מזונות, יחסי ממון בין בני זוג, אפוטרופסות, החזקת קטינים, שינוי שם, גיל, אימוץ, ענייני ירושה, ועניינים נוספים המפורטים בחוק בית המשפט לענייני משפחה תשנ"ה - 1995.</w:t>
      </w:r>
    </w:p>
    <w:p w:rsidR="007E06AD" w:rsidRPr="002015B0" w:rsidRDefault="007E06AD" w:rsidP="007E06AD">
      <w:pPr>
        <w:pStyle w:val="NormalWeb"/>
        <w:bidi/>
        <w:spacing w:beforeAutospacing="0" w:after="0" w:afterAutospacing="0"/>
        <w:ind w:right="113"/>
        <w:jc w:val="both"/>
        <w:rPr>
          <w:rFonts w:ascii="Arial" w:hAnsi="Arial" w:cs="David"/>
          <w:rtl/>
        </w:rPr>
      </w:pPr>
      <w:r w:rsidRPr="002015B0">
        <w:rPr>
          <w:rFonts w:ascii="Arial" w:hAnsi="Arial" w:cs="David"/>
          <w:b/>
          <w:bCs/>
          <w:rtl/>
        </w:rPr>
        <w:t>בית המשפט לתביעות קטנות</w:t>
      </w:r>
      <w:r w:rsidRPr="002015B0">
        <w:rPr>
          <w:rFonts w:ascii="Arial" w:hAnsi="Arial" w:cs="David"/>
          <w:rtl/>
        </w:rPr>
        <w:t xml:space="preserve">- בית משפט במעמד של בית משפט שלום, אשר סמכותו הייחודית הינה לדון בתביעות של יחיד (להבדיל מתאגיד) </w:t>
      </w:r>
      <w:r w:rsidR="001E2CE2" w:rsidRPr="002015B0">
        <w:rPr>
          <w:rFonts w:ascii="Arial" w:hAnsi="Arial" w:cs="David" w:hint="cs"/>
          <w:rtl/>
        </w:rPr>
        <w:t>ששווין</w:t>
      </w:r>
      <w:r w:rsidRPr="002015B0">
        <w:rPr>
          <w:rFonts w:ascii="Arial" w:hAnsi="Arial" w:cs="David"/>
          <w:rtl/>
        </w:rPr>
        <w:t xml:space="preserve"> הכספי נמוך (כיום כ- 30,000 ₪). המתדיינים בבית משפט זה אינם רשאים להיות מיוצגים על ידי עורכי-דין, אלא בהיתר של בית המשפט במקרים מיוחדים.</w:t>
      </w:r>
    </w:p>
    <w:p w:rsidR="007E06AD" w:rsidRPr="002015B0" w:rsidRDefault="007E06AD" w:rsidP="007E06AD">
      <w:pPr>
        <w:pStyle w:val="NormalWeb"/>
        <w:bidi/>
        <w:spacing w:beforeAutospacing="0" w:after="0" w:afterAutospacing="0"/>
        <w:ind w:right="113"/>
        <w:jc w:val="both"/>
        <w:rPr>
          <w:rFonts w:ascii="Arial" w:hAnsi="Arial" w:cs="David"/>
          <w:rtl/>
        </w:rPr>
      </w:pPr>
      <w:r w:rsidRPr="002015B0">
        <w:rPr>
          <w:rFonts w:ascii="Arial" w:hAnsi="Arial" w:cs="David"/>
          <w:b/>
          <w:bCs/>
          <w:rtl/>
        </w:rPr>
        <w:t>בית המשפט לתעבורה</w:t>
      </w:r>
      <w:r w:rsidRPr="002015B0">
        <w:rPr>
          <w:rFonts w:ascii="Arial" w:hAnsi="Arial" w:cs="David"/>
          <w:rtl/>
        </w:rPr>
        <w:t>- בית משפט במעמד של בית משפט שלום, אשר מוסמך לדון בעבירות נהגים והולכי רגל על פקודת התעבורה והתקנות שהותקנו מכוחה.</w:t>
      </w:r>
    </w:p>
    <w:p w:rsidR="007E06AD" w:rsidRPr="002015B0" w:rsidRDefault="007E06AD" w:rsidP="007E06AD">
      <w:pPr>
        <w:pStyle w:val="NormalWeb"/>
        <w:bidi/>
        <w:spacing w:beforeAutospacing="0" w:after="0" w:afterAutospacing="0"/>
        <w:ind w:right="113"/>
        <w:jc w:val="both"/>
        <w:rPr>
          <w:rFonts w:ascii="Arial" w:hAnsi="Arial" w:cs="David"/>
          <w:rtl/>
        </w:rPr>
      </w:pPr>
      <w:r w:rsidRPr="002015B0">
        <w:rPr>
          <w:rFonts w:ascii="Arial" w:hAnsi="Arial" w:cs="David"/>
          <w:b/>
          <w:bCs/>
          <w:rtl/>
        </w:rPr>
        <w:t>בית משפט השלום</w:t>
      </w:r>
      <w:r w:rsidRPr="002015B0">
        <w:rPr>
          <w:rFonts w:ascii="Arial" w:hAnsi="Arial" w:cs="David"/>
          <w:rtl/>
        </w:rPr>
        <w:t xml:space="preserve">- בית משפט הפועל כערכה ראשונה בתביעות אזרחיות </w:t>
      </w:r>
      <w:r w:rsidR="001E2CE2" w:rsidRPr="002015B0">
        <w:rPr>
          <w:rFonts w:ascii="Arial" w:hAnsi="Arial" w:cs="David" w:hint="cs"/>
          <w:rtl/>
        </w:rPr>
        <w:t>ששווין</w:t>
      </w:r>
      <w:r w:rsidRPr="002015B0">
        <w:rPr>
          <w:rFonts w:ascii="Arial" w:hAnsi="Arial" w:cs="David"/>
          <w:rtl/>
        </w:rPr>
        <w:t xml:space="preserve"> הכספי עד 2.5 מיליון ₪; בעבירות פליליות שהעונש המקסימאלי בגינן הוא עד 7 שנות מאסר; וכן בעניינים הנוגעים לחזקה, לשימוש או לחלוקה של מקרקעין.</w:t>
      </w:r>
    </w:p>
    <w:p w:rsidR="007E06AD" w:rsidRPr="002015B0" w:rsidRDefault="007E06AD" w:rsidP="007E06AD">
      <w:pPr>
        <w:pStyle w:val="NormalWeb"/>
        <w:bidi/>
        <w:spacing w:beforeAutospacing="0" w:after="0" w:afterAutospacing="0"/>
        <w:ind w:right="113"/>
        <w:jc w:val="both"/>
        <w:rPr>
          <w:rFonts w:ascii="Arial" w:hAnsi="Arial" w:cs="David"/>
          <w:rtl/>
        </w:rPr>
      </w:pPr>
      <w:r w:rsidRPr="002015B0">
        <w:rPr>
          <w:rFonts w:ascii="Arial" w:hAnsi="Arial" w:cs="David"/>
          <w:b/>
          <w:bCs/>
          <w:rtl/>
        </w:rPr>
        <w:t>בעל דין</w:t>
      </w:r>
      <w:r w:rsidRPr="002015B0">
        <w:rPr>
          <w:rFonts w:ascii="Arial" w:hAnsi="Arial" w:cs="David"/>
          <w:rtl/>
        </w:rPr>
        <w:t>- כל מי שהינו צד להליך המתנהל בערכה משפטית כלשהי.</w:t>
      </w:r>
    </w:p>
    <w:p w:rsidR="007E06AD" w:rsidRPr="002015B0" w:rsidRDefault="007E06AD" w:rsidP="007E06AD">
      <w:pPr>
        <w:pStyle w:val="NormalWeb"/>
        <w:bidi/>
        <w:spacing w:beforeAutospacing="0" w:after="0" w:afterAutospacing="0"/>
        <w:ind w:right="113"/>
        <w:jc w:val="both"/>
        <w:rPr>
          <w:rFonts w:ascii="Arial" w:hAnsi="Arial" w:cs="David"/>
          <w:rtl/>
        </w:rPr>
      </w:pPr>
      <w:r>
        <w:rPr>
          <w:rFonts w:ascii="Arial" w:hAnsi="Arial" w:cs="David" w:hint="cs"/>
          <w:b/>
          <w:bCs/>
          <w:rtl/>
        </w:rPr>
        <w:t>ב</w:t>
      </w:r>
      <w:r w:rsidRPr="002015B0">
        <w:rPr>
          <w:rFonts w:ascii="Arial" w:hAnsi="Arial" w:cs="David"/>
          <w:b/>
          <w:bCs/>
          <w:rtl/>
        </w:rPr>
        <w:t>תי דין</w:t>
      </w:r>
      <w:r w:rsidRPr="002015B0">
        <w:rPr>
          <w:rFonts w:ascii="Arial" w:hAnsi="Arial" w:cs="David"/>
          <w:rtl/>
        </w:rPr>
        <w:t>- עַרכָּאות שיפוטיות בעלות סמכות שפיטה בעניינים מיוחדים (כגון: בתי הדין לעבודה, בתי הדין הרבניים ועוד).</w:t>
      </w:r>
    </w:p>
    <w:p w:rsidR="007E06AD" w:rsidRPr="002015B0" w:rsidRDefault="007E06AD" w:rsidP="007E06AD">
      <w:pPr>
        <w:pStyle w:val="NormalWeb"/>
        <w:bidi/>
        <w:spacing w:beforeAutospacing="0" w:after="0" w:afterAutospacing="0"/>
        <w:ind w:right="113"/>
        <w:jc w:val="both"/>
        <w:rPr>
          <w:rFonts w:ascii="Arial" w:hAnsi="Arial" w:cs="David"/>
          <w:rtl/>
        </w:rPr>
      </w:pPr>
      <w:r w:rsidRPr="002015B0">
        <w:rPr>
          <w:rFonts w:ascii="Arial" w:hAnsi="Arial" w:cs="David"/>
          <w:b/>
          <w:bCs/>
          <w:rtl/>
        </w:rPr>
        <w:t>בתי משפט</w:t>
      </w:r>
      <w:r w:rsidRPr="002015B0">
        <w:rPr>
          <w:rFonts w:ascii="Arial" w:hAnsi="Arial" w:cs="David"/>
          <w:rtl/>
        </w:rPr>
        <w:t>- עַרכָּאות שיפוטיות בעלות סמכות כללית לשפיטה (כגון: בית משפט השלום).</w:t>
      </w:r>
    </w:p>
    <w:p w:rsidR="005F1222" w:rsidRDefault="005F1222" w:rsidP="002015B0">
      <w:pPr>
        <w:pStyle w:val="NormalWeb"/>
        <w:bidi/>
        <w:spacing w:beforeAutospacing="0" w:after="0" w:afterAutospacing="0"/>
        <w:ind w:right="113"/>
        <w:jc w:val="both"/>
        <w:rPr>
          <w:rFonts w:ascii="Arial" w:hAnsi="Arial" w:cs="David" w:hint="cs"/>
          <w:b/>
          <w:bCs/>
          <w:rtl/>
        </w:rPr>
      </w:pPr>
      <w:r w:rsidRPr="002015B0">
        <w:rPr>
          <w:rFonts w:ascii="Arial" w:hAnsi="Arial" w:cs="David"/>
          <w:b/>
          <w:bCs/>
          <w:rtl/>
        </w:rPr>
        <w:t>ג'ון אוסטין</w:t>
      </w:r>
      <w:r w:rsidRPr="002015B0">
        <w:rPr>
          <w:rFonts w:ascii="Arial" w:hAnsi="Arial" w:cs="David"/>
          <w:rtl/>
        </w:rPr>
        <w:t>- משפטן אנגלי בעל השפעה רבה בתחום תורת המשפט הנחשב לראש וראשון בין תומכי גישת הפוזיטיביזם המשפטי.</w:t>
      </w:r>
    </w:p>
    <w:p w:rsidR="000662D9" w:rsidRPr="0045569A" w:rsidRDefault="000662D9" w:rsidP="000662D9">
      <w:pPr>
        <w:spacing w:before="100" w:after="0" w:line="240" w:lineRule="auto"/>
        <w:ind w:right="113"/>
        <w:jc w:val="both"/>
        <w:rPr>
          <w:rFonts w:ascii="Arial" w:eastAsia="Times New Roman" w:hAnsi="Arial" w:cs="David"/>
          <w:sz w:val="24"/>
          <w:szCs w:val="24"/>
          <w:rtl/>
        </w:rPr>
      </w:pPr>
      <w:r w:rsidRPr="0045569A">
        <w:rPr>
          <w:rFonts w:ascii="Arial" w:eastAsia="Times New Roman" w:hAnsi="Arial" w:cs="David"/>
          <w:b/>
          <w:bCs/>
          <w:sz w:val="24"/>
          <w:szCs w:val="24"/>
          <w:rtl/>
        </w:rPr>
        <w:t>גזר דין</w:t>
      </w:r>
      <w:r w:rsidRPr="0045569A">
        <w:rPr>
          <w:rFonts w:ascii="Arial" w:eastAsia="Times New Roman" w:hAnsi="Arial" w:cs="David"/>
          <w:sz w:val="24"/>
          <w:szCs w:val="24"/>
          <w:rtl/>
        </w:rPr>
        <w:t xml:space="preserve"> - העונש שמחליט בית משפט לגזור על נאשם שהורשע על-ידו בהליך הפלילי.</w:t>
      </w:r>
    </w:p>
    <w:p w:rsidR="005F1222" w:rsidRPr="002015B0" w:rsidRDefault="005F1222" w:rsidP="005F1222">
      <w:pPr>
        <w:pStyle w:val="NormalWeb"/>
        <w:bidi/>
        <w:spacing w:beforeAutospacing="0" w:after="0" w:afterAutospacing="0"/>
        <w:ind w:right="113"/>
        <w:jc w:val="both"/>
        <w:rPr>
          <w:rFonts w:ascii="Arial" w:hAnsi="Arial" w:cs="David"/>
          <w:b/>
          <w:bCs/>
          <w:rtl/>
        </w:rPr>
      </w:pPr>
      <w:r w:rsidRPr="002015B0">
        <w:rPr>
          <w:rFonts w:ascii="Arial" w:hAnsi="Arial" w:cs="David"/>
          <w:b/>
          <w:bCs/>
          <w:rtl/>
        </w:rPr>
        <w:t>גישור</w:t>
      </w:r>
      <w:r w:rsidRPr="002015B0">
        <w:rPr>
          <w:rFonts w:ascii="Arial" w:hAnsi="Arial" w:cs="David"/>
          <w:rtl/>
        </w:rPr>
        <w:t>- דרך אלטרנטיבית לפתרון מחלוקות בטרם פנייה לבית המשפט, במסגרתה מנסה צד שלישי ניטראלי להביא אנשים מסוכסכים באמצעים אזרחיים לעמק השווה. ‏המקור המשפטי להליך הגישור מצוי בסעיף 79ג לחוק בתי המשפט (נוסח משולב), התשמ"ד-1984‏.</w:t>
      </w:r>
    </w:p>
    <w:p w:rsidR="000662D9" w:rsidRPr="002015B0" w:rsidRDefault="000662D9" w:rsidP="000662D9">
      <w:pPr>
        <w:pStyle w:val="NormalWeb"/>
        <w:bidi/>
        <w:spacing w:beforeAutospacing="0" w:after="0" w:afterAutospacing="0"/>
        <w:ind w:right="113"/>
        <w:jc w:val="both"/>
        <w:rPr>
          <w:rFonts w:ascii="Arial" w:hAnsi="Arial" w:cs="David"/>
          <w:rtl/>
        </w:rPr>
      </w:pPr>
      <w:r w:rsidRPr="002015B0">
        <w:rPr>
          <w:rFonts w:ascii="Arial" w:hAnsi="Arial" w:cs="David"/>
          <w:b/>
          <w:bCs/>
          <w:rtl/>
        </w:rPr>
        <w:t>גמירת דעת</w:t>
      </w:r>
      <w:r w:rsidRPr="002015B0">
        <w:rPr>
          <w:rFonts w:ascii="Arial" w:hAnsi="Arial" w:cs="David"/>
          <w:rtl/>
        </w:rPr>
        <w:t xml:space="preserve">- מרכיב מרכזי בדיני החוזים בישראל אשר משמעותו "כוונה רצינית והחלטית ליצירת יחסים משפטיים מחייבים". זהו המבחן לבדיקה האם נכרת חוזה בין הצדדים. </w:t>
      </w:r>
    </w:p>
    <w:p w:rsidR="00D910C3" w:rsidRPr="002015B0" w:rsidRDefault="00D910C3" w:rsidP="00D910C3">
      <w:pPr>
        <w:pStyle w:val="NormalWeb"/>
        <w:bidi/>
        <w:spacing w:beforeAutospacing="0" w:after="0" w:afterAutospacing="0"/>
        <w:ind w:right="113"/>
        <w:jc w:val="both"/>
        <w:rPr>
          <w:rFonts w:ascii="Arial" w:hAnsi="Arial" w:cs="David"/>
        </w:rPr>
      </w:pPr>
      <w:r w:rsidRPr="002015B0">
        <w:rPr>
          <w:rFonts w:ascii="Arial" w:hAnsi="Arial" w:cs="David"/>
          <w:b/>
          <w:bCs/>
          <w:rtl/>
        </w:rPr>
        <w:t>דבר המלך במועצתו</w:t>
      </w:r>
      <w:r w:rsidRPr="002015B0">
        <w:rPr>
          <w:rFonts w:ascii="Arial" w:hAnsi="Arial" w:cs="David"/>
          <w:rtl/>
        </w:rPr>
        <w:t>- באופן פורמאלי מדובר בקובץ חוקים שפרסם מלך (או מלכת) בריטניה, לאחר שנועץ בחבר יועציו, והם חלו על כל מדינות האימפריה הבריטית, לרבות בארץ ישראל [בה חל דבר המלך במועצתו על פלשתינה (א"י)]. החוקים שפורסמו ב"דבר המלך במועצתו" הסדירו את אופי שלטון המנדט ואופן ניהולו.</w:t>
      </w:r>
    </w:p>
    <w:p w:rsidR="00895FDA" w:rsidRPr="002015B0" w:rsidRDefault="00895FDA" w:rsidP="00895FDA">
      <w:pPr>
        <w:pStyle w:val="NormalWeb"/>
        <w:bidi/>
        <w:spacing w:beforeAutospacing="0" w:after="0" w:afterAutospacing="0"/>
        <w:ind w:right="113"/>
        <w:jc w:val="both"/>
        <w:rPr>
          <w:rFonts w:ascii="Arial" w:hAnsi="Arial" w:cs="David"/>
          <w:rtl/>
        </w:rPr>
      </w:pPr>
      <w:r w:rsidRPr="002015B0">
        <w:rPr>
          <w:rFonts w:ascii="Arial" w:hAnsi="Arial" w:cs="David"/>
          <w:b/>
          <w:bCs/>
          <w:rtl/>
        </w:rPr>
        <w:t>דיבידנד</w:t>
      </w:r>
      <w:r w:rsidRPr="002015B0">
        <w:rPr>
          <w:rFonts w:ascii="Arial" w:hAnsi="Arial" w:cs="David"/>
          <w:rtl/>
        </w:rPr>
        <w:t>- רווחי החברה המחולקים לבעלי מניותיה בהתאם לגובה חלקם בהון המניות וכנקבע בתקנון החברה.</w:t>
      </w:r>
    </w:p>
    <w:p w:rsidR="00AC6A5B" w:rsidRPr="002015B0" w:rsidRDefault="00AC6A5B" w:rsidP="00AC6A5B">
      <w:pPr>
        <w:pStyle w:val="NormalWeb"/>
        <w:bidi/>
        <w:spacing w:beforeAutospacing="0" w:after="0" w:afterAutospacing="0"/>
        <w:ind w:right="113"/>
        <w:jc w:val="both"/>
        <w:rPr>
          <w:rFonts w:ascii="Arial" w:hAnsi="Arial" w:cs="David"/>
          <w:color w:val="FF0000"/>
          <w:rtl/>
        </w:rPr>
      </w:pPr>
      <w:r w:rsidRPr="002015B0">
        <w:rPr>
          <w:rFonts w:ascii="Arial" w:hAnsi="Arial" w:cs="David"/>
          <w:b/>
          <w:bCs/>
          <w:rtl/>
        </w:rPr>
        <w:t>דיון נוסף</w:t>
      </w:r>
      <w:r w:rsidRPr="002015B0">
        <w:rPr>
          <w:rFonts w:ascii="Arial" w:hAnsi="Arial" w:cs="David"/>
          <w:rtl/>
        </w:rPr>
        <w:t xml:space="preserve">- הליך ייחודי לבית המשפט העליון ובג"צ, ולפיו מתבקש בית המשפט או בג"צ, מטעמים מיוחדים הקשורים למורכבות או לחשיבות הסוגיה המשפטית שבפניו, לקיים דיון נוסף בהרכב אי-זוגי מורחב יותר של שופטים (5, 7, 9, או 11), במקום שלושה כנהוג. </w:t>
      </w:r>
    </w:p>
    <w:p w:rsidR="00AC6A5B" w:rsidRPr="002015B0" w:rsidRDefault="00AC6A5B" w:rsidP="00AC6A5B">
      <w:pPr>
        <w:pStyle w:val="NormalWeb"/>
        <w:bidi/>
        <w:spacing w:beforeAutospacing="0" w:after="0" w:afterAutospacing="0"/>
        <w:ind w:right="113"/>
        <w:jc w:val="both"/>
        <w:rPr>
          <w:rFonts w:ascii="Arial" w:hAnsi="Arial" w:cs="David"/>
          <w:rtl/>
        </w:rPr>
      </w:pPr>
      <w:r w:rsidRPr="002015B0">
        <w:rPr>
          <w:rFonts w:ascii="Arial" w:hAnsi="Arial" w:cs="David"/>
          <w:b/>
          <w:bCs/>
          <w:rtl/>
        </w:rPr>
        <w:t>דיני נזיקין</w:t>
      </w:r>
      <w:r w:rsidRPr="002015B0">
        <w:rPr>
          <w:rFonts w:ascii="Arial" w:hAnsi="Arial" w:cs="David"/>
          <w:rtl/>
        </w:rPr>
        <w:t>- התחום המשפטי שעוסק בסיטואציות בהן נגרם נזק על-ידי גורם כלשהו, ואשר כתוצאה ממעשיו או מחדליו (עוולה) ניתן להטיל עליו חבות במשפט בגין הנזק שגרם.</w:t>
      </w:r>
    </w:p>
    <w:p w:rsidR="00895FDA" w:rsidRPr="002015B0" w:rsidRDefault="00895FDA" w:rsidP="00895FDA">
      <w:pPr>
        <w:pStyle w:val="NormalWeb"/>
        <w:bidi/>
        <w:spacing w:beforeAutospacing="0" w:after="0" w:afterAutospacing="0"/>
        <w:ind w:right="113"/>
        <w:jc w:val="both"/>
        <w:rPr>
          <w:rFonts w:ascii="Arial" w:hAnsi="Arial" w:cs="David"/>
          <w:rtl/>
        </w:rPr>
      </w:pPr>
      <w:r w:rsidRPr="002015B0">
        <w:rPr>
          <w:rFonts w:ascii="Arial" w:hAnsi="Arial" w:cs="David"/>
          <w:b/>
          <w:bCs/>
          <w:rtl/>
        </w:rPr>
        <w:lastRenderedPageBreak/>
        <w:t>דירקטוריון</w:t>
      </w:r>
      <w:r w:rsidRPr="002015B0">
        <w:rPr>
          <w:rFonts w:ascii="Arial" w:hAnsi="Arial" w:cs="David"/>
          <w:rtl/>
        </w:rPr>
        <w:t xml:space="preserve">- אורגן של החברה הממונה על-ידי בעלי המניות בחברה. תפקידו הוא לגבש את האסטרטגיה והמדיניות של החברה ולפקח על פעולותיו וביצועיו של מנכ"ל החברה. </w:t>
      </w:r>
    </w:p>
    <w:p w:rsidR="00AC6A5B" w:rsidRPr="002015B0" w:rsidRDefault="00AC6A5B" w:rsidP="00AC6A5B">
      <w:pPr>
        <w:pStyle w:val="NormalWeb"/>
        <w:bidi/>
        <w:spacing w:beforeAutospacing="0" w:after="0" w:afterAutospacing="0"/>
        <w:ind w:right="113"/>
        <w:jc w:val="both"/>
        <w:rPr>
          <w:rFonts w:ascii="Arial" w:hAnsi="Arial" w:cs="David"/>
          <w:rtl/>
        </w:rPr>
      </w:pPr>
      <w:r w:rsidRPr="002015B0">
        <w:rPr>
          <w:rFonts w:ascii="Arial" w:hAnsi="Arial" w:cs="David"/>
          <w:b/>
          <w:bCs/>
          <w:rtl/>
        </w:rPr>
        <w:t>דמי פגיעה</w:t>
      </w:r>
      <w:r w:rsidRPr="002015B0">
        <w:rPr>
          <w:rFonts w:ascii="Arial" w:hAnsi="Arial" w:cs="David"/>
          <w:rtl/>
        </w:rPr>
        <w:t>- תשלום שהמוסד לביטוח לאומי משלם לאדם שנפגע בעבודה (מתאונת עבודה או ממחלת מקצוע), ועקב כך הוא אינו מסוגל לעבוד (מקביל לתשלום עבור "ימי מחלה").</w:t>
      </w:r>
    </w:p>
    <w:p w:rsidR="00D910C3" w:rsidRPr="002015B0" w:rsidRDefault="00D910C3" w:rsidP="0078757C">
      <w:pPr>
        <w:pStyle w:val="NormalWeb"/>
        <w:bidi/>
        <w:spacing w:beforeAutospacing="0" w:after="0" w:afterAutospacing="0"/>
        <w:ind w:right="113"/>
        <w:jc w:val="both"/>
        <w:rPr>
          <w:rFonts w:ascii="Arial" w:hAnsi="Arial" w:cs="David"/>
        </w:rPr>
      </w:pPr>
      <w:r w:rsidRPr="002015B0">
        <w:rPr>
          <w:rFonts w:ascii="Arial" w:hAnsi="Arial" w:cs="David"/>
          <w:b/>
          <w:bCs/>
          <w:rtl/>
        </w:rPr>
        <w:t>האימפריה העות'מאנית</w:t>
      </w:r>
      <w:r w:rsidRPr="002015B0">
        <w:rPr>
          <w:rFonts w:ascii="Arial" w:hAnsi="Arial" w:cs="David"/>
          <w:rtl/>
        </w:rPr>
        <w:t>- מדינה טורקית שהתקיימה מהמאה ה- 16 עד תחילת המאה ה- 20, והשתרעה מדרום מזרח אירופה עד לצפון אפריקה וחצי האי ערב. האימפריה העות'מאנית הייתה מהכוחות הפוליטיים העיקריים בין המאה ה-15, למאה ה-18 והיוותה איום על מדינות אירופה עד שהתפרקה לאחר מלחמת העולם הראשונה והייתה לטורקיה המודרנית. גם ארץ ישראל נכללה בתחומיה של האימפריה העות'מאנית (ההגדרה מתוך "ויקיפדיה - האנציקלופדיה החופשית").</w:t>
      </w:r>
    </w:p>
    <w:p w:rsidR="00D910C3" w:rsidRPr="002015B0" w:rsidRDefault="00D910C3" w:rsidP="00D910C3">
      <w:pPr>
        <w:pStyle w:val="NormalWeb"/>
        <w:bidi/>
        <w:spacing w:beforeAutospacing="0" w:after="0" w:afterAutospacing="0"/>
        <w:ind w:right="113"/>
        <w:jc w:val="both"/>
        <w:rPr>
          <w:rFonts w:ascii="Arial" w:hAnsi="Arial" w:cs="David"/>
          <w:rtl/>
        </w:rPr>
      </w:pPr>
      <w:r w:rsidRPr="002015B0">
        <w:rPr>
          <w:rFonts w:ascii="Arial" w:hAnsi="Arial" w:cs="David"/>
          <w:b/>
          <w:bCs/>
          <w:rtl/>
        </w:rPr>
        <w:t>הוועדה לבחירת שופטים</w:t>
      </w:r>
      <w:r w:rsidRPr="002015B0">
        <w:rPr>
          <w:rFonts w:ascii="Arial" w:hAnsi="Arial" w:cs="David"/>
          <w:rtl/>
        </w:rPr>
        <w:t>- ועדה שהוקמה מכוח סעיף 4(א) לחוק יסוד: השפיטה, ואשר תפקידה הוא לבחור את שופטי מדינת ישראל. הועדה מורכבת מ- 9 חברים: שר המשפטים (יו"ר הועדה); נשיא בית המשפט העליון ושני שופטים אחרים של בית המשפט העליון; שר נוסף לפי קביעת הממשלה; שני חברי כנסת ושני עורכי-דין נציגי לשכת עורכי הדין.</w:t>
      </w:r>
    </w:p>
    <w:p w:rsidR="00D910C3" w:rsidRPr="002015B0" w:rsidRDefault="00D910C3" w:rsidP="00D910C3">
      <w:pPr>
        <w:pStyle w:val="NormalWeb"/>
        <w:bidi/>
        <w:spacing w:beforeAutospacing="0" w:after="0" w:afterAutospacing="0"/>
        <w:ind w:right="113"/>
        <w:jc w:val="both"/>
        <w:rPr>
          <w:rFonts w:ascii="Arial" w:hAnsi="Arial" w:cs="David"/>
          <w:rtl/>
        </w:rPr>
      </w:pPr>
      <w:r>
        <w:rPr>
          <w:rFonts w:ascii="Arial" w:hAnsi="Arial" w:cs="David"/>
          <w:b/>
          <w:bCs/>
          <w:rtl/>
        </w:rPr>
        <w:t>הזמנה להציע הצעות</w:t>
      </w:r>
      <w:r w:rsidRPr="002015B0">
        <w:rPr>
          <w:rFonts w:ascii="Arial" w:hAnsi="Arial" w:cs="David"/>
          <w:rtl/>
        </w:rPr>
        <w:t>- פניה שאינה מעידה על גמירת דעתו של המציע או שאינה מסוימת דיה. זוהי פניה מוקדמת להצעה, במסגרתה מזמין מבקש החוזה גורמים אחרים להציע לו הצעות להתקשר בחוזה. דרך זאת שמישה בעיקר בחוזים מסוג מכרזים.</w:t>
      </w:r>
    </w:p>
    <w:p w:rsidR="00D910C3" w:rsidRPr="002015B0" w:rsidRDefault="00D910C3" w:rsidP="00D910C3">
      <w:pPr>
        <w:pStyle w:val="NormalWeb"/>
        <w:bidi/>
        <w:spacing w:beforeAutospacing="0" w:after="0" w:afterAutospacing="0"/>
        <w:ind w:right="113"/>
        <w:jc w:val="both"/>
        <w:rPr>
          <w:rFonts w:ascii="Arial" w:hAnsi="Arial" w:cs="David"/>
          <w:rtl/>
        </w:rPr>
      </w:pPr>
      <w:r w:rsidRPr="002015B0">
        <w:rPr>
          <w:rFonts w:ascii="Arial" w:hAnsi="Arial" w:cs="David"/>
          <w:b/>
          <w:bCs/>
          <w:rtl/>
        </w:rPr>
        <w:t>היסוד הנפשי של העבירה (</w:t>
      </w:r>
      <w:r w:rsidRPr="002015B0">
        <w:rPr>
          <w:rFonts w:ascii="Arial" w:hAnsi="Arial" w:cs="David"/>
          <w:b/>
          <w:bCs/>
        </w:rPr>
        <w:t>Mens Rea</w:t>
      </w:r>
      <w:r w:rsidRPr="002015B0">
        <w:rPr>
          <w:rFonts w:ascii="Arial" w:hAnsi="Arial" w:cs="David"/>
          <w:b/>
          <w:bCs/>
          <w:rtl/>
        </w:rPr>
        <w:t>)</w:t>
      </w:r>
      <w:r w:rsidRPr="002015B0">
        <w:rPr>
          <w:rFonts w:ascii="Arial" w:hAnsi="Arial" w:cs="David"/>
          <w:rtl/>
        </w:rPr>
        <w:t>- הלך הרוח הנפשי/פנימי של העבריין בתוך מבנה העבירה. ניתן לחשוב על היסוד הנפשי כעל מכלול העבירה, למעט היסוד העובדתי. היסוד הנפשי יכול להיות אחד משלושה סוגים: מחשבה פלילית, או רשלנות, או אחריות קפידה.</w:t>
      </w:r>
    </w:p>
    <w:p w:rsidR="00D910C3" w:rsidRPr="0045569A" w:rsidRDefault="00D910C3" w:rsidP="00D910C3">
      <w:pPr>
        <w:spacing w:before="100" w:after="0" w:line="240" w:lineRule="auto"/>
        <w:ind w:right="113"/>
        <w:jc w:val="both"/>
        <w:rPr>
          <w:rFonts w:ascii="Arial" w:eastAsia="Times New Roman" w:hAnsi="Arial" w:cs="David"/>
          <w:sz w:val="24"/>
          <w:szCs w:val="24"/>
          <w:rtl/>
        </w:rPr>
      </w:pPr>
      <w:r w:rsidRPr="0045569A">
        <w:rPr>
          <w:rFonts w:ascii="Arial" w:eastAsia="Times New Roman" w:hAnsi="Arial" w:cs="David"/>
          <w:b/>
          <w:bCs/>
          <w:sz w:val="24"/>
          <w:szCs w:val="24"/>
          <w:rtl/>
        </w:rPr>
        <w:t>היסוד העובדתי של העבירה (</w:t>
      </w:r>
      <w:r w:rsidRPr="0045569A">
        <w:rPr>
          <w:rFonts w:ascii="Arial" w:eastAsia="Times New Roman" w:hAnsi="Arial" w:cs="David"/>
          <w:b/>
          <w:bCs/>
          <w:sz w:val="24"/>
          <w:szCs w:val="24"/>
        </w:rPr>
        <w:t>Actus Reus</w:t>
      </w:r>
      <w:r w:rsidRPr="0045569A">
        <w:rPr>
          <w:rFonts w:ascii="Arial" w:eastAsia="Times New Roman" w:hAnsi="Arial" w:cs="David"/>
          <w:b/>
          <w:bCs/>
          <w:sz w:val="24"/>
          <w:szCs w:val="24"/>
          <w:rtl/>
        </w:rPr>
        <w:t>)</w:t>
      </w:r>
      <w:r w:rsidRPr="0045569A">
        <w:rPr>
          <w:rFonts w:ascii="Arial" w:eastAsia="Times New Roman" w:hAnsi="Arial" w:cs="David"/>
          <w:sz w:val="24"/>
          <w:szCs w:val="24"/>
          <w:rtl/>
        </w:rPr>
        <w:t>- היסוד הפיזי בתוך מבנה העבירה. ניתן לחשוב על היסוד העובדתי כעל מכלול העבירה, למעט היסוד הנפשי. היסוד העובדתי מורכב ממעשה, נסיבות ותוצאה.</w:t>
      </w:r>
    </w:p>
    <w:p w:rsidR="0078757C" w:rsidRPr="002015B0" w:rsidRDefault="0078757C" w:rsidP="0078757C">
      <w:pPr>
        <w:pStyle w:val="NormalWeb"/>
        <w:bidi/>
        <w:spacing w:beforeAutospacing="0" w:after="0" w:afterAutospacing="0"/>
        <w:ind w:right="113"/>
        <w:jc w:val="both"/>
        <w:rPr>
          <w:rFonts w:ascii="Arial" w:hAnsi="Arial" w:cs="David"/>
          <w:rtl/>
        </w:rPr>
      </w:pPr>
      <w:r w:rsidRPr="002015B0">
        <w:rPr>
          <w:rFonts w:ascii="Arial" w:hAnsi="Arial" w:cs="David"/>
          <w:b/>
          <w:bCs/>
          <w:rtl/>
        </w:rPr>
        <w:t>הכוונת התנהגות</w:t>
      </w:r>
      <w:r w:rsidRPr="002015B0">
        <w:rPr>
          <w:rFonts w:ascii="Arial" w:hAnsi="Arial" w:cs="David"/>
          <w:rtl/>
        </w:rPr>
        <w:t xml:space="preserve">- אחת הפונקציות המרכזיות של המשפט. ישנם חוקים רבים המכווינים התנהגות של בני אדם, אך בעיקר ניתן למצוא נורמות מכווינות התנהגות בחוק הפלילי ובדיני הנזיקין. </w:t>
      </w:r>
    </w:p>
    <w:p w:rsidR="00D910C3" w:rsidRPr="0045569A" w:rsidRDefault="00D910C3" w:rsidP="00D910C3">
      <w:pPr>
        <w:spacing w:before="100" w:after="0" w:line="240" w:lineRule="auto"/>
        <w:ind w:right="113"/>
        <w:jc w:val="both"/>
        <w:rPr>
          <w:rFonts w:ascii="Arial" w:eastAsia="Times New Roman" w:hAnsi="Arial" w:cs="David"/>
          <w:sz w:val="24"/>
          <w:szCs w:val="24"/>
          <w:rtl/>
        </w:rPr>
      </w:pPr>
      <w:r w:rsidRPr="0045569A">
        <w:rPr>
          <w:rFonts w:ascii="Arial" w:eastAsia="Times New Roman" w:hAnsi="Arial" w:cs="David"/>
          <w:b/>
          <w:bCs/>
          <w:sz w:val="24"/>
          <w:szCs w:val="24"/>
          <w:rtl/>
        </w:rPr>
        <w:t>הכרעת דין</w:t>
      </w:r>
      <w:r w:rsidRPr="0045569A">
        <w:rPr>
          <w:rFonts w:ascii="Arial" w:eastAsia="Times New Roman" w:hAnsi="Arial" w:cs="David"/>
          <w:sz w:val="24"/>
          <w:szCs w:val="24"/>
          <w:rtl/>
        </w:rPr>
        <w:t xml:space="preserve">- החלטת בית משפט בסיומו של משפט פלילי האם להרשיע או לזכות את הנאשם שלפניו. </w:t>
      </w:r>
    </w:p>
    <w:p w:rsidR="00D910C3" w:rsidRPr="002015B0" w:rsidRDefault="00D910C3" w:rsidP="00D910C3">
      <w:pPr>
        <w:pStyle w:val="NormalWeb"/>
        <w:bidi/>
        <w:spacing w:beforeAutospacing="0" w:after="0" w:afterAutospacing="0"/>
        <w:ind w:right="113"/>
        <w:jc w:val="both"/>
        <w:rPr>
          <w:rFonts w:ascii="Arial" w:hAnsi="Arial" w:cs="David"/>
          <w:rtl/>
        </w:rPr>
      </w:pPr>
      <w:r w:rsidRPr="002015B0">
        <w:rPr>
          <w:rFonts w:ascii="Arial" w:hAnsi="Arial" w:cs="David"/>
          <w:b/>
          <w:bCs/>
          <w:rtl/>
        </w:rPr>
        <w:t>הלכת הצפיות</w:t>
      </w:r>
      <w:r w:rsidRPr="002015B0">
        <w:rPr>
          <w:rFonts w:ascii="Arial" w:hAnsi="Arial" w:cs="David"/>
          <w:rtl/>
        </w:rPr>
        <w:t>- חזקה משפטית לפיה אדם שמבצע פעולה מתוך ידיעה שהתוצאות ייגרמו, יוחזק כמי שהתכוון לגרום לתוצאות, גם אם לא התכוון לכך בפועל.</w:t>
      </w:r>
    </w:p>
    <w:p w:rsidR="00D910C3" w:rsidRPr="002015B0" w:rsidRDefault="00D910C3" w:rsidP="00D910C3">
      <w:pPr>
        <w:pStyle w:val="NormalWeb"/>
        <w:bidi/>
        <w:spacing w:beforeAutospacing="0" w:after="0" w:afterAutospacing="0"/>
        <w:ind w:right="113"/>
        <w:jc w:val="both"/>
        <w:rPr>
          <w:rFonts w:ascii="Arial" w:hAnsi="Arial" w:cs="David"/>
          <w:rtl/>
        </w:rPr>
      </w:pPr>
      <w:r>
        <w:rPr>
          <w:rFonts w:ascii="Arial" w:hAnsi="Arial" w:cs="David"/>
          <w:b/>
          <w:bCs/>
          <w:rtl/>
        </w:rPr>
        <w:t>המג'לה</w:t>
      </w:r>
      <w:r w:rsidRPr="002015B0">
        <w:rPr>
          <w:rFonts w:ascii="Arial" w:hAnsi="Arial" w:cs="David"/>
          <w:rtl/>
        </w:rPr>
        <w:t>- קובץ דינים אזרחיים עות'מאני, אשר היה עירוב של דינים מהמשפט האזרחי הקונטיננטלי והמשפט האסלאמי, וזאת בניסיון ליצור קודיפיקציה של אותם דינים אזרחיים. המג'לה הייתה בתוקף גם בארץ ישראל (בזמן שליטתה של האימפריה העות'מאנית), והיא נותרה בתוקף גם זמן רב לאחר מכן, ובפועל גם בתקופת המנדט הבריטי וגם לאחר קום מדינת ישראל נותרו חלק מהוראות המג'לה בתוקף. רק בשנת 1984, באמצעות החוק לביטול המג'לה, בוטלו סופית הוראות המג'לה.</w:t>
      </w:r>
    </w:p>
    <w:p w:rsidR="00D910C3" w:rsidRPr="002015B0" w:rsidRDefault="00D910C3" w:rsidP="00D910C3">
      <w:pPr>
        <w:pStyle w:val="NormalWeb"/>
        <w:bidi/>
        <w:spacing w:beforeAutospacing="0" w:after="0" w:afterAutospacing="0"/>
        <w:ind w:right="113"/>
        <w:jc w:val="both"/>
        <w:rPr>
          <w:rFonts w:ascii="Arial" w:hAnsi="Arial" w:cs="David"/>
          <w:rtl/>
        </w:rPr>
      </w:pPr>
      <w:r w:rsidRPr="002015B0">
        <w:rPr>
          <w:rFonts w:ascii="Arial" w:hAnsi="Arial" w:cs="David"/>
          <w:b/>
          <w:bCs/>
          <w:rtl/>
        </w:rPr>
        <w:t>המנדט הבריטי</w:t>
      </w:r>
      <w:r w:rsidRPr="002015B0">
        <w:rPr>
          <w:rFonts w:ascii="Arial" w:hAnsi="Arial" w:cs="David"/>
          <w:rtl/>
        </w:rPr>
        <w:t>- בשמו הרשמי המלא בעברית: המנדט הבריטי מטעם חבר הלאומים על פלשתינה (א"י), הוא כינוי למנדט (ייפוי כוח) שהוענק לבריטניה על ידי חבר הלאומים ואשר מכוחו שלטו הבריטים בארץ ישראל (פלשתינה) בין השנים 1920 ל- 1948 (ההגדרה מתוך "ויקיפדיה - האנציקלופדיה החופשית").</w:t>
      </w:r>
    </w:p>
    <w:p w:rsidR="00895FDA" w:rsidRPr="002015B0" w:rsidRDefault="00895FDA" w:rsidP="00895FDA">
      <w:pPr>
        <w:pStyle w:val="NormalWeb"/>
        <w:bidi/>
        <w:spacing w:beforeAutospacing="0" w:after="0" w:afterAutospacing="0"/>
        <w:ind w:right="113"/>
        <w:jc w:val="both"/>
        <w:rPr>
          <w:rFonts w:ascii="Arial" w:hAnsi="Arial" w:cs="David"/>
          <w:rtl/>
        </w:rPr>
      </w:pPr>
      <w:r w:rsidRPr="002015B0">
        <w:rPr>
          <w:rFonts w:ascii="Arial" w:hAnsi="Arial" w:cs="David"/>
          <w:b/>
          <w:bCs/>
          <w:rtl/>
        </w:rPr>
        <w:t>המשפט האזרחי</w:t>
      </w:r>
      <w:r w:rsidRPr="002015B0">
        <w:rPr>
          <w:rFonts w:ascii="Arial" w:hAnsi="Arial" w:cs="David"/>
          <w:rtl/>
        </w:rPr>
        <w:t>- ענף משפט העוסק רובו ככולו בדיני ממונות וכספים. ענף משפט זה הוא בין אזרח לאזרח.</w:t>
      </w:r>
    </w:p>
    <w:p w:rsidR="00895FDA" w:rsidRPr="002015B0" w:rsidRDefault="00895FDA" w:rsidP="00895FDA">
      <w:pPr>
        <w:pStyle w:val="NormalWeb"/>
        <w:bidi/>
        <w:spacing w:beforeAutospacing="0" w:after="0" w:afterAutospacing="0"/>
        <w:ind w:right="113"/>
        <w:jc w:val="both"/>
        <w:rPr>
          <w:rFonts w:ascii="Arial" w:hAnsi="Arial" w:cs="David"/>
          <w:rtl/>
        </w:rPr>
      </w:pPr>
      <w:r w:rsidRPr="002015B0">
        <w:rPr>
          <w:rFonts w:ascii="Arial" w:hAnsi="Arial" w:cs="David"/>
          <w:b/>
          <w:bCs/>
          <w:rtl/>
        </w:rPr>
        <w:t>המשפט המנהלי</w:t>
      </w:r>
      <w:r w:rsidRPr="002015B0">
        <w:rPr>
          <w:rFonts w:ascii="Arial" w:hAnsi="Arial" w:cs="David"/>
          <w:rtl/>
        </w:rPr>
        <w:t>- ענף המשפט של הרשויות המנהליות (רשויות המדינה) במילוי תפקידיהן הציבוריים. המשפט המנהלי מגדיר את העקרונות הכלליים על-פיהם מפעילות הרשויות הציבוריות את סמכויותיהן על-פי הדין וכן מסדיר את יחסי הרשויות בינן לבין עצמן ובינן לבין האזרח.</w:t>
      </w:r>
    </w:p>
    <w:p w:rsidR="00895FDA" w:rsidRPr="002015B0" w:rsidRDefault="00895FDA" w:rsidP="00895FDA">
      <w:pPr>
        <w:pStyle w:val="NormalWeb"/>
        <w:bidi/>
        <w:spacing w:beforeAutospacing="0" w:after="0" w:afterAutospacing="0"/>
        <w:ind w:right="113"/>
        <w:jc w:val="both"/>
        <w:rPr>
          <w:rFonts w:ascii="Arial" w:hAnsi="Arial" w:cs="David"/>
          <w:rtl/>
        </w:rPr>
      </w:pPr>
      <w:r w:rsidRPr="002015B0">
        <w:rPr>
          <w:rFonts w:ascii="Arial" w:hAnsi="Arial" w:cs="David"/>
          <w:b/>
          <w:bCs/>
          <w:rtl/>
        </w:rPr>
        <w:t>המשפט המקובל (</w:t>
      </w:r>
      <w:r w:rsidRPr="002015B0">
        <w:rPr>
          <w:rFonts w:cs="David"/>
          <w:b/>
          <w:bCs/>
        </w:rPr>
        <w:t>Common law</w:t>
      </w:r>
      <w:r w:rsidRPr="002015B0">
        <w:rPr>
          <w:rFonts w:ascii="Arial" w:hAnsi="Arial" w:cs="David"/>
          <w:b/>
          <w:bCs/>
          <w:rtl/>
        </w:rPr>
        <w:t>)</w:t>
      </w:r>
      <w:r w:rsidRPr="002015B0">
        <w:rPr>
          <w:rFonts w:ascii="Arial" w:hAnsi="Arial" w:cs="David"/>
          <w:rtl/>
        </w:rPr>
        <w:t>- שיטה משפטית שהתפתחה באנגליה ונהוגה בעיקר באנגליה, במדינות חבר העמים הבריטי ובמדינות שהיו בעבר תחת שלטונה של בריטניה (כמו גם ישראל). המשפט המקובל כולל בתוכו עקרונות ונורמות התנהגות מחייבות אשר לא התקבלו על-ידי פרלמנט דווקא, אלא בעיקר באמצעות פסיקות בתי המשפט (עקרון התקדים המחייב). לפי גישה זאת, לפסיקת בתי המשפט מעמד נורמטיבי מחייב כמו כל נורמה אשר נוצרת על-ידי הפרלמנט עצמו בהליך של חקיקה.</w:t>
      </w:r>
    </w:p>
    <w:p w:rsidR="00895FDA" w:rsidRPr="002015B0" w:rsidRDefault="00895FDA" w:rsidP="00895FDA">
      <w:pPr>
        <w:pStyle w:val="NormalWeb"/>
        <w:bidi/>
        <w:spacing w:beforeAutospacing="0" w:after="0" w:afterAutospacing="0"/>
        <w:ind w:right="113"/>
        <w:jc w:val="both"/>
        <w:rPr>
          <w:rFonts w:ascii="Arial" w:hAnsi="Arial" w:cs="David"/>
          <w:rtl/>
        </w:rPr>
      </w:pPr>
      <w:r w:rsidRPr="002015B0">
        <w:rPr>
          <w:rFonts w:ascii="Arial" w:hAnsi="Arial" w:cs="David"/>
          <w:b/>
          <w:bCs/>
          <w:rtl/>
        </w:rPr>
        <w:t>המשפט הפלילי</w:t>
      </w:r>
      <w:r w:rsidRPr="002015B0">
        <w:rPr>
          <w:rFonts w:ascii="Arial" w:hAnsi="Arial" w:cs="David"/>
          <w:rtl/>
        </w:rPr>
        <w:t>- ענף משפט שנועד בעיקרו לעשות סדר בחברה, ויש לו מספר מטרות: ענישה, שיקום, הרתעה ועוד. לרוב, הצדדים להליך הפלילי יהיו המדינה כנגד העבריין.</w:t>
      </w:r>
    </w:p>
    <w:p w:rsidR="00D910C3" w:rsidRPr="002015B0" w:rsidRDefault="00D910C3" w:rsidP="00D910C3">
      <w:pPr>
        <w:pStyle w:val="NormalWeb"/>
        <w:bidi/>
        <w:spacing w:beforeAutospacing="0" w:after="0" w:afterAutospacing="0"/>
        <w:ind w:right="113"/>
        <w:jc w:val="both"/>
        <w:rPr>
          <w:rFonts w:ascii="Arial" w:hAnsi="Arial" w:cs="David"/>
        </w:rPr>
      </w:pPr>
      <w:r>
        <w:rPr>
          <w:rFonts w:ascii="Arial" w:hAnsi="Arial" w:cs="David"/>
          <w:b/>
          <w:bCs/>
          <w:rtl/>
        </w:rPr>
        <w:t>הפרה יסודית</w:t>
      </w:r>
      <w:r w:rsidRPr="002015B0">
        <w:rPr>
          <w:rFonts w:ascii="Arial" w:hAnsi="Arial" w:cs="David"/>
          <w:rtl/>
        </w:rPr>
        <w:t>- הפרה שניתן להניח לגביה שאדם סביר לא היה מתקשר באותו חוזה אילו ראה מראש את ההפרה ותוצאותיה, או הפרה שהוסכם עליה בחוזה שתיחשב ליסודית.</w:t>
      </w:r>
    </w:p>
    <w:p w:rsidR="00D910C3" w:rsidRPr="002015B0" w:rsidRDefault="00D910C3" w:rsidP="00D910C3">
      <w:pPr>
        <w:pStyle w:val="NormalWeb"/>
        <w:bidi/>
        <w:spacing w:beforeAutospacing="0" w:after="0" w:afterAutospacing="0"/>
        <w:ind w:right="113"/>
        <w:jc w:val="both"/>
        <w:rPr>
          <w:rFonts w:ascii="Arial" w:hAnsi="Arial" w:cs="David"/>
          <w:rtl/>
        </w:rPr>
      </w:pPr>
      <w:r w:rsidRPr="002015B0">
        <w:rPr>
          <w:rFonts w:ascii="Arial" w:hAnsi="Arial" w:cs="David"/>
          <w:b/>
          <w:bCs/>
          <w:rtl/>
        </w:rPr>
        <w:t>הפרת הסכם</w:t>
      </w:r>
      <w:r w:rsidRPr="002015B0">
        <w:rPr>
          <w:rFonts w:ascii="Arial" w:hAnsi="Arial" w:cs="David"/>
          <w:rtl/>
        </w:rPr>
        <w:t>- באופן עקרוני, הדין רואה בחוזה התחייבות שעל הצדדים לקיימה, וזאת מכ</w:t>
      </w:r>
      <w:r w:rsidR="001E2CE2">
        <w:rPr>
          <w:rFonts w:ascii="Arial" w:hAnsi="Arial" w:cs="David" w:hint="cs"/>
          <w:rtl/>
        </w:rPr>
        <w:t>ו</w:t>
      </w:r>
      <w:r w:rsidRPr="002015B0">
        <w:rPr>
          <w:rFonts w:ascii="Arial" w:hAnsi="Arial" w:cs="David"/>
          <w:rtl/>
        </w:rPr>
        <w:t>ח הכלל ש" חוזים יש לקיים". יחד עם זאת, ישנם מצבים שבהם אדם נמנע מלקיים את התחייבויותיו החוזית, בין אם מרצונו ובין אם בשל מגוון של נסיבות אחרות. זהו מצב של הפרת ההסכם.</w:t>
      </w:r>
    </w:p>
    <w:p w:rsidR="00D910C3" w:rsidRPr="002015B0" w:rsidRDefault="00D910C3" w:rsidP="00D910C3">
      <w:pPr>
        <w:pStyle w:val="NormalWeb"/>
        <w:bidi/>
        <w:spacing w:beforeAutospacing="0" w:after="0" w:afterAutospacing="0"/>
        <w:ind w:right="113"/>
        <w:jc w:val="both"/>
        <w:rPr>
          <w:rFonts w:ascii="Arial" w:hAnsi="Arial" w:cs="David"/>
          <w:rtl/>
        </w:rPr>
      </w:pPr>
      <w:r w:rsidRPr="002015B0">
        <w:rPr>
          <w:rFonts w:ascii="Arial" w:hAnsi="Arial" w:cs="David"/>
          <w:b/>
          <w:bCs/>
          <w:rtl/>
        </w:rPr>
        <w:t>הפרת חובת הזהירות</w:t>
      </w:r>
      <w:r w:rsidRPr="002015B0">
        <w:rPr>
          <w:rFonts w:ascii="Arial" w:hAnsi="Arial" w:cs="David"/>
          <w:rtl/>
        </w:rPr>
        <w:t>- אי-עמידה במחויבות שיש לאדם אחד כלפי אדם אחר שקרוב אליו.</w:t>
      </w:r>
    </w:p>
    <w:p w:rsidR="00D910C3" w:rsidRPr="002015B0" w:rsidRDefault="00D910C3" w:rsidP="00D910C3">
      <w:pPr>
        <w:pStyle w:val="NormalWeb"/>
        <w:bidi/>
        <w:spacing w:beforeAutospacing="0" w:after="0" w:afterAutospacing="0"/>
        <w:ind w:right="113"/>
        <w:jc w:val="both"/>
        <w:rPr>
          <w:rFonts w:ascii="Arial" w:hAnsi="Arial" w:cs="David"/>
          <w:rtl/>
        </w:rPr>
      </w:pPr>
      <w:r>
        <w:rPr>
          <w:rFonts w:ascii="Arial" w:hAnsi="Arial" w:cs="David"/>
          <w:b/>
          <w:bCs/>
          <w:rtl/>
        </w:rPr>
        <w:lastRenderedPageBreak/>
        <w:t>הצעה</w:t>
      </w:r>
      <w:r w:rsidRPr="002015B0">
        <w:rPr>
          <w:rFonts w:ascii="Arial" w:hAnsi="Arial" w:cs="David"/>
          <w:rtl/>
        </w:rPr>
        <w:t xml:space="preserve">- פניה של אדם לחברו להתקשר עמו בחוזה. הפניה צריכה להעיד על גמירת דעתו של המציע להתקשר עם הניצע בחוזה, וכן היא צריכה להיות מספיק </w:t>
      </w:r>
      <w:r w:rsidR="001E2CE2" w:rsidRPr="002015B0">
        <w:rPr>
          <w:rFonts w:ascii="Arial" w:hAnsi="Arial" w:cs="David" w:hint="cs"/>
          <w:rtl/>
        </w:rPr>
        <w:t>מסוימת</w:t>
      </w:r>
      <w:r w:rsidRPr="002015B0">
        <w:rPr>
          <w:rFonts w:ascii="Arial" w:hAnsi="Arial" w:cs="David"/>
          <w:rtl/>
        </w:rPr>
        <w:t xml:space="preserve"> - כך שתהיה אפשרות לכרות את החוזה בקיבול ההצעה.</w:t>
      </w:r>
    </w:p>
    <w:p w:rsidR="00D910C3" w:rsidRPr="002015B0" w:rsidRDefault="00D910C3" w:rsidP="00D910C3">
      <w:pPr>
        <w:pStyle w:val="NormalWeb"/>
        <w:bidi/>
        <w:spacing w:beforeAutospacing="0" w:after="0" w:afterAutospacing="0"/>
        <w:ind w:right="113"/>
        <w:jc w:val="both"/>
        <w:rPr>
          <w:rFonts w:ascii="Arial" w:hAnsi="Arial" w:cs="David"/>
          <w:rtl/>
        </w:rPr>
      </w:pPr>
      <w:r w:rsidRPr="002015B0">
        <w:rPr>
          <w:rFonts w:ascii="Arial" w:hAnsi="Arial" w:cs="David"/>
          <w:b/>
          <w:bCs/>
          <w:rtl/>
        </w:rPr>
        <w:t>הצעה בלתי-</w:t>
      </w:r>
      <w:r>
        <w:rPr>
          <w:rFonts w:ascii="Arial" w:hAnsi="Arial" w:cs="David" w:hint="cs"/>
          <w:b/>
          <w:bCs/>
          <w:rtl/>
        </w:rPr>
        <w:t xml:space="preserve"> </w:t>
      </w:r>
      <w:r w:rsidRPr="002015B0">
        <w:rPr>
          <w:rFonts w:ascii="Arial" w:hAnsi="Arial" w:cs="David"/>
          <w:b/>
          <w:bCs/>
          <w:rtl/>
        </w:rPr>
        <w:t>חוזרת</w:t>
      </w:r>
      <w:r w:rsidRPr="002015B0">
        <w:rPr>
          <w:rFonts w:ascii="Arial" w:hAnsi="Arial" w:cs="David"/>
          <w:rtl/>
        </w:rPr>
        <w:t>- הצעה שבה המציע מגביל את יכולתו לחזור בו מהצעתו.</w:t>
      </w:r>
    </w:p>
    <w:p w:rsidR="00D910C3" w:rsidRPr="002015B0" w:rsidRDefault="00D910C3" w:rsidP="00D910C3">
      <w:pPr>
        <w:pStyle w:val="NormalWeb"/>
        <w:bidi/>
        <w:spacing w:beforeAutospacing="0" w:after="0" w:afterAutospacing="0"/>
        <w:ind w:right="113"/>
        <w:jc w:val="both"/>
        <w:rPr>
          <w:rFonts w:ascii="Arial" w:hAnsi="Arial" w:cs="David"/>
          <w:rtl/>
        </w:rPr>
      </w:pPr>
      <w:r>
        <w:rPr>
          <w:rFonts w:ascii="Arial" w:hAnsi="Arial" w:cs="David"/>
          <w:b/>
          <w:bCs/>
          <w:rtl/>
        </w:rPr>
        <w:t>הצעה לציבור</w:t>
      </w:r>
      <w:r w:rsidRPr="002015B0">
        <w:rPr>
          <w:rFonts w:ascii="Arial" w:hAnsi="Arial" w:cs="David"/>
          <w:rtl/>
        </w:rPr>
        <w:t xml:space="preserve">- הצעה אשר מופנית לציבור בכללותו, להבדיל מאדם אחד או מקבוצה מוגדרת </w:t>
      </w:r>
      <w:r w:rsidR="001E2CE2" w:rsidRPr="002015B0">
        <w:rPr>
          <w:rFonts w:ascii="Arial" w:hAnsi="Arial" w:cs="David" w:hint="cs"/>
          <w:rtl/>
        </w:rPr>
        <w:t>ומסוימת</w:t>
      </w:r>
      <w:r w:rsidRPr="002015B0">
        <w:rPr>
          <w:rFonts w:ascii="Arial" w:hAnsi="Arial" w:cs="David"/>
          <w:rtl/>
        </w:rPr>
        <w:t xml:space="preserve"> של בני אדם.</w:t>
      </w:r>
    </w:p>
    <w:p w:rsidR="00D910C3" w:rsidRDefault="00D910C3" w:rsidP="00D910C3">
      <w:pPr>
        <w:pStyle w:val="NormalWeb"/>
        <w:bidi/>
        <w:spacing w:beforeAutospacing="0" w:after="0" w:afterAutospacing="0"/>
        <w:ind w:right="113"/>
        <w:jc w:val="both"/>
        <w:rPr>
          <w:rFonts w:ascii="Arial" w:hAnsi="Arial" w:cs="David" w:hint="cs"/>
          <w:rtl/>
        </w:rPr>
      </w:pPr>
      <w:r w:rsidRPr="002015B0">
        <w:rPr>
          <w:rFonts w:ascii="Arial" w:hAnsi="Arial" w:cs="David"/>
          <w:b/>
          <w:bCs/>
          <w:rtl/>
        </w:rPr>
        <w:t>הצעת חוק</w:t>
      </w:r>
      <w:r w:rsidRPr="002015B0">
        <w:rPr>
          <w:rFonts w:ascii="Arial" w:hAnsi="Arial" w:cs="David"/>
          <w:rtl/>
        </w:rPr>
        <w:t>- חוקים יכולים להיות מוצעים על-ידי הממשלה (הצעת חוק ממשלתית); על-ידי ח"כ יחיד (הצעת חוק פרטית); או על-ידי מספר חברי כנסת (הצעת חוק משותפת).</w:t>
      </w:r>
    </w:p>
    <w:p w:rsidR="0078757C" w:rsidRPr="002015B0" w:rsidRDefault="0078757C" w:rsidP="0078757C">
      <w:pPr>
        <w:pStyle w:val="NormalWeb"/>
        <w:bidi/>
        <w:spacing w:beforeAutospacing="0" w:after="0" w:afterAutospacing="0"/>
        <w:ind w:right="113"/>
        <w:jc w:val="both"/>
        <w:rPr>
          <w:rFonts w:ascii="Arial" w:hAnsi="Arial" w:cs="David"/>
          <w:rtl/>
        </w:rPr>
      </w:pPr>
      <w:r>
        <w:rPr>
          <w:rFonts w:ascii="Arial" w:hAnsi="Arial" w:cs="David"/>
          <w:b/>
          <w:bCs/>
          <w:rtl/>
        </w:rPr>
        <w:t>הקטנת הנזק</w:t>
      </w:r>
      <w:r w:rsidRPr="002015B0">
        <w:rPr>
          <w:rFonts w:ascii="Arial" w:hAnsi="Arial" w:cs="David"/>
          <w:rtl/>
        </w:rPr>
        <w:t>- עקרון הקבוע בסעיף 14 לחוק החוזים (תרופות) לפיו על הניזוק (הצד שנפגע מהפרת ההסכם) להקטין את נזקיו. כלומר, הניזוק נושא בנטל לנקוט בכל האמצעים הסבירים כדי להפחית את הנזק שנגרם לו כתוצאה ממעשהו של מזיק אשר שפגע בזכויותיו.</w:t>
      </w:r>
    </w:p>
    <w:p w:rsidR="0078757C" w:rsidRPr="002015B0" w:rsidRDefault="0078757C" w:rsidP="0078757C">
      <w:pPr>
        <w:pStyle w:val="NormalWeb"/>
        <w:bidi/>
        <w:spacing w:beforeAutospacing="0" w:after="0" w:afterAutospacing="0"/>
        <w:ind w:right="113"/>
        <w:jc w:val="both"/>
        <w:rPr>
          <w:rFonts w:ascii="Arial" w:hAnsi="Arial" w:cs="David"/>
          <w:rtl/>
        </w:rPr>
      </w:pPr>
      <w:r w:rsidRPr="002015B0">
        <w:rPr>
          <w:rFonts w:ascii="Arial" w:hAnsi="Arial" w:cs="David"/>
          <w:b/>
          <w:bCs/>
          <w:rtl/>
        </w:rPr>
        <w:t>הרכיב ההכרתי</w:t>
      </w:r>
      <w:r w:rsidRPr="002015B0">
        <w:rPr>
          <w:rFonts w:ascii="Arial" w:hAnsi="Arial" w:cs="David"/>
          <w:rtl/>
        </w:rPr>
        <w:t>- רכיב הבודק עד כמה היה האדם מודע לטיב התנהגותו ולנסיבות שדרושות לשם היווצרות העבירה.</w:t>
      </w:r>
    </w:p>
    <w:p w:rsidR="0078757C" w:rsidRPr="002015B0" w:rsidRDefault="0078757C" w:rsidP="0078757C">
      <w:pPr>
        <w:pStyle w:val="NormalWeb"/>
        <w:bidi/>
        <w:spacing w:beforeAutospacing="0" w:after="0" w:afterAutospacing="0"/>
        <w:ind w:right="113"/>
        <w:jc w:val="both"/>
        <w:rPr>
          <w:rFonts w:ascii="Arial" w:hAnsi="Arial" w:cs="David"/>
          <w:rtl/>
        </w:rPr>
      </w:pPr>
      <w:r w:rsidRPr="002015B0">
        <w:rPr>
          <w:rFonts w:ascii="Arial" w:hAnsi="Arial" w:cs="David"/>
          <w:b/>
          <w:bCs/>
          <w:rtl/>
        </w:rPr>
        <w:t>הרכיב החפצי</w:t>
      </w:r>
      <w:r w:rsidRPr="002015B0">
        <w:rPr>
          <w:rFonts w:ascii="Arial" w:hAnsi="Arial" w:cs="David"/>
          <w:rtl/>
        </w:rPr>
        <w:t>- רכיב הבודק האם לאדם היה חֵפֶץ (רצון) בתוצאה האסורה.</w:t>
      </w:r>
    </w:p>
    <w:p w:rsidR="0078757C" w:rsidRPr="002015B0" w:rsidRDefault="0078757C" w:rsidP="0078757C">
      <w:pPr>
        <w:pStyle w:val="NormalWeb"/>
        <w:bidi/>
        <w:spacing w:beforeAutospacing="0" w:after="0" w:afterAutospacing="0"/>
        <w:ind w:right="113"/>
        <w:jc w:val="both"/>
        <w:rPr>
          <w:rFonts w:ascii="Arial" w:hAnsi="Arial" w:cs="David"/>
          <w:rtl/>
        </w:rPr>
      </w:pPr>
      <w:r w:rsidRPr="002015B0">
        <w:rPr>
          <w:rFonts w:ascii="Arial" w:hAnsi="Arial" w:cs="David"/>
          <w:b/>
          <w:bCs/>
          <w:rtl/>
        </w:rPr>
        <w:t>הרמת מסך</w:t>
      </w:r>
      <w:r w:rsidRPr="002015B0">
        <w:rPr>
          <w:rFonts w:ascii="Arial" w:hAnsi="Arial" w:cs="David"/>
          <w:rtl/>
        </w:rPr>
        <w:t xml:space="preserve">- כלי משפטי המאפשר בתנאים </w:t>
      </w:r>
      <w:r w:rsidR="001E2CE2" w:rsidRPr="002015B0">
        <w:rPr>
          <w:rFonts w:ascii="Arial" w:hAnsi="Arial" w:cs="David" w:hint="cs"/>
          <w:rtl/>
        </w:rPr>
        <w:t>מסוימים</w:t>
      </w:r>
      <w:r w:rsidRPr="002015B0">
        <w:rPr>
          <w:rFonts w:ascii="Arial" w:hAnsi="Arial" w:cs="David"/>
          <w:rtl/>
        </w:rPr>
        <w:t xml:space="preserve"> לייחס את החובות של החברה לבעלי המניות שלה או לנושאי תפקידים בה המזוהים עמה (האורגנים של החברה). באמצעות כלי זה ניתן לקבוע כי חוב, או נזק, או כל עוולה אחרת שקשורה לחברה, יתבע מהאורגנים.</w:t>
      </w:r>
    </w:p>
    <w:p w:rsidR="0078757C" w:rsidRPr="0045569A" w:rsidRDefault="0078757C" w:rsidP="0078757C">
      <w:pPr>
        <w:spacing w:before="100" w:after="0" w:line="240" w:lineRule="auto"/>
        <w:ind w:right="113"/>
        <w:jc w:val="both"/>
        <w:rPr>
          <w:rFonts w:ascii="Arial" w:eastAsia="Times New Roman" w:hAnsi="Arial" w:cs="David"/>
          <w:sz w:val="24"/>
          <w:szCs w:val="24"/>
          <w:rtl/>
        </w:rPr>
      </w:pPr>
      <w:r w:rsidRPr="0045569A">
        <w:rPr>
          <w:rFonts w:ascii="Arial" w:eastAsia="Times New Roman" w:hAnsi="Arial" w:cs="David"/>
          <w:b/>
          <w:bCs/>
          <w:sz w:val="24"/>
          <w:szCs w:val="24"/>
          <w:rtl/>
        </w:rPr>
        <w:t>ה</w:t>
      </w:r>
      <w:r>
        <w:rPr>
          <w:rFonts w:ascii="Arial" w:eastAsia="Times New Roman" w:hAnsi="Arial" w:cs="David"/>
          <w:b/>
          <w:bCs/>
          <w:sz w:val="24"/>
          <w:szCs w:val="24"/>
          <w:rtl/>
        </w:rPr>
        <w:t>רתעה</w:t>
      </w:r>
      <w:r w:rsidRPr="0045569A">
        <w:rPr>
          <w:rFonts w:ascii="Arial" w:eastAsia="Times New Roman" w:hAnsi="Arial" w:cs="David"/>
          <w:sz w:val="24"/>
          <w:szCs w:val="24"/>
          <w:rtl/>
        </w:rPr>
        <w:t>- אחת מצידוקי הענישה, ולפיו על-ידי הענישה נרתיע, ובאמצעות כך נמנע, את הישנות הפשע על-ידי אנשים אחרים ועל-ידי אותו אדם.</w:t>
      </w:r>
    </w:p>
    <w:p w:rsidR="00895FDA" w:rsidRPr="002015B0" w:rsidRDefault="00895FDA" w:rsidP="00895FDA">
      <w:pPr>
        <w:pStyle w:val="NormalWeb"/>
        <w:bidi/>
        <w:spacing w:beforeAutospacing="0" w:after="0" w:afterAutospacing="0"/>
        <w:ind w:right="113"/>
        <w:jc w:val="both"/>
        <w:rPr>
          <w:rFonts w:ascii="Arial" w:hAnsi="Arial" w:cs="David"/>
          <w:rtl/>
        </w:rPr>
      </w:pPr>
      <w:r w:rsidRPr="002015B0">
        <w:rPr>
          <w:rFonts w:ascii="Arial" w:hAnsi="Arial" w:cs="David"/>
          <w:b/>
          <w:bCs/>
          <w:rtl/>
        </w:rPr>
        <w:t>השומרוני הטוב</w:t>
      </w:r>
      <w:r w:rsidRPr="002015B0">
        <w:rPr>
          <w:rFonts w:ascii="Arial" w:hAnsi="Arial" w:cs="David"/>
          <w:rtl/>
        </w:rPr>
        <w:t xml:space="preserve">- ביטוי הלקוח מתוך הברית החדשה המתאר אדם החורג מהחובה שמוטלת עליו ופועל כדי לעזור לרעהו שנמצא במצוקה. </w:t>
      </w:r>
    </w:p>
    <w:p w:rsidR="00895FDA" w:rsidRPr="002015B0" w:rsidRDefault="00895FDA" w:rsidP="00895FDA">
      <w:pPr>
        <w:pStyle w:val="NormalWeb"/>
        <w:bidi/>
        <w:spacing w:beforeAutospacing="0" w:after="0" w:afterAutospacing="0"/>
        <w:ind w:right="113"/>
        <w:jc w:val="both"/>
        <w:rPr>
          <w:rFonts w:ascii="Arial" w:hAnsi="Arial" w:cs="David"/>
          <w:rtl/>
        </w:rPr>
      </w:pPr>
      <w:r w:rsidRPr="002015B0">
        <w:rPr>
          <w:rFonts w:ascii="Arial" w:hAnsi="Arial" w:cs="David"/>
          <w:b/>
          <w:bCs/>
          <w:rtl/>
        </w:rPr>
        <w:t>השיטה האדוורסרית</w:t>
      </w:r>
      <w:r w:rsidRPr="002015B0">
        <w:rPr>
          <w:rFonts w:ascii="Arial" w:hAnsi="Arial" w:cs="David"/>
          <w:rtl/>
        </w:rPr>
        <w:t xml:space="preserve">- שיטת משפט המקובלת במיוחד בארצות בהן נהוג המשפט המקובל, בה משמש שופט (או חבר מושבעים) כמכריע פאסיבי על פי עובדות וטיעונים המובאים בפניו על ידי בעלי הדין, ואינו לוקח חלק אקטיבי בחיפוש העובדות והכללים המשפטיים שיש להחיל במקרה הבא לדיון. </w:t>
      </w:r>
    </w:p>
    <w:p w:rsidR="00895FDA" w:rsidRPr="002015B0" w:rsidRDefault="00895FDA" w:rsidP="00895FDA">
      <w:pPr>
        <w:pStyle w:val="NormalWeb"/>
        <w:bidi/>
        <w:spacing w:beforeAutospacing="0" w:after="0" w:afterAutospacing="0"/>
        <w:ind w:right="113"/>
        <w:jc w:val="both"/>
        <w:rPr>
          <w:rFonts w:ascii="Arial" w:hAnsi="Arial" w:cs="David"/>
          <w:rtl/>
        </w:rPr>
      </w:pPr>
      <w:r w:rsidRPr="002015B0">
        <w:rPr>
          <w:rFonts w:ascii="Arial" w:hAnsi="Arial" w:cs="David"/>
          <w:b/>
          <w:bCs/>
          <w:rtl/>
        </w:rPr>
        <w:t>השיטה האינקוויזיטורית</w:t>
      </w:r>
      <w:r w:rsidRPr="002015B0">
        <w:rPr>
          <w:rFonts w:ascii="Arial" w:hAnsi="Arial" w:cs="David"/>
          <w:rtl/>
        </w:rPr>
        <w:t xml:space="preserve">- שיטת משפט שנהוגה בעיקר בארצות בהן נהוג המשפט הקונטיננטלי (בעיקר צרפת ובספרד). בשיטה זאת השופט מעורב בהליך השיפוטי: הוא יוזם, חוקר, יכול להביע דעה, קורא את העדויות לפני המשפט, ביכולתו לזמן עדים </w:t>
      </w:r>
      <w:r w:rsidR="001E2CE2" w:rsidRPr="002015B0">
        <w:rPr>
          <w:rFonts w:ascii="Arial" w:hAnsi="Arial" w:cs="David" w:hint="cs"/>
          <w:rtl/>
        </w:rPr>
        <w:t>וכו</w:t>
      </w:r>
      <w:r w:rsidR="001E2CE2" w:rsidRPr="002015B0">
        <w:rPr>
          <w:rFonts w:ascii="Arial" w:hAnsi="Arial" w:cs="David"/>
          <w:rtl/>
        </w:rPr>
        <w:t>'</w:t>
      </w:r>
      <w:r w:rsidRPr="002015B0">
        <w:rPr>
          <w:rFonts w:ascii="Arial" w:hAnsi="Arial" w:cs="David"/>
          <w:rtl/>
        </w:rPr>
        <w:t>.</w:t>
      </w:r>
    </w:p>
    <w:p w:rsidR="00D910C3" w:rsidRPr="0078757C" w:rsidRDefault="0078757C" w:rsidP="0078757C">
      <w:pPr>
        <w:pStyle w:val="NormalWeb"/>
        <w:bidi/>
        <w:spacing w:beforeAutospacing="0" w:after="0" w:afterAutospacing="0"/>
        <w:ind w:right="113"/>
        <w:jc w:val="both"/>
        <w:rPr>
          <w:rFonts w:ascii="Arial" w:hAnsi="Arial" w:cs="David" w:hint="cs"/>
          <w:rtl/>
        </w:rPr>
      </w:pPr>
      <w:r>
        <w:rPr>
          <w:rFonts w:ascii="Arial" w:hAnsi="Arial" w:cs="David"/>
          <w:b/>
          <w:bCs/>
          <w:rtl/>
        </w:rPr>
        <w:t>השלמת פרטים</w:t>
      </w:r>
      <w:r w:rsidRPr="002015B0">
        <w:rPr>
          <w:rFonts w:ascii="Arial" w:hAnsi="Arial" w:cs="David"/>
          <w:rtl/>
        </w:rPr>
        <w:t>- מנגנון המסייע לנו בהשלמת פרטים שלא נקבעו בחוזה (קבוע בסעיף 26 לחוק החוזים).</w:t>
      </w:r>
    </w:p>
    <w:p w:rsidR="00D910C3" w:rsidRPr="002015B0" w:rsidRDefault="00D910C3" w:rsidP="00D910C3">
      <w:pPr>
        <w:pStyle w:val="NormalWeb"/>
        <w:bidi/>
        <w:spacing w:beforeAutospacing="0" w:after="0" w:afterAutospacing="0"/>
        <w:ind w:right="113"/>
        <w:jc w:val="both"/>
        <w:rPr>
          <w:rFonts w:ascii="Arial" w:hAnsi="Arial" w:cs="David"/>
          <w:rtl/>
        </w:rPr>
      </w:pPr>
      <w:r w:rsidRPr="002015B0">
        <w:rPr>
          <w:rFonts w:ascii="Arial" w:hAnsi="Arial" w:cs="David"/>
          <w:b/>
          <w:bCs/>
          <w:rtl/>
        </w:rPr>
        <w:t>התיישנות</w:t>
      </w:r>
      <w:r w:rsidRPr="002015B0">
        <w:rPr>
          <w:rFonts w:ascii="Arial" w:hAnsi="Arial" w:cs="David"/>
          <w:rtl/>
        </w:rPr>
        <w:t>- מניעה של הדין מפני הבאתה של תביעה לבירור בפני בית המשפט, כיוון שחלף זמן רב מדי מיום שקמה עילת התביעה ועד להגשת התביעה.</w:t>
      </w:r>
    </w:p>
    <w:p w:rsidR="00895FDA" w:rsidRPr="00895FDA" w:rsidRDefault="00895FDA" w:rsidP="00895FDA">
      <w:pPr>
        <w:pStyle w:val="NormalWeb"/>
        <w:bidi/>
        <w:spacing w:beforeAutospacing="0" w:after="0" w:afterAutospacing="0"/>
        <w:ind w:right="113"/>
        <w:jc w:val="both"/>
        <w:rPr>
          <w:rFonts w:ascii="Arial" w:hAnsi="Arial" w:cs="David"/>
          <w:rtl/>
        </w:rPr>
      </w:pPr>
      <w:r w:rsidRPr="002015B0">
        <w:rPr>
          <w:rFonts w:ascii="Arial" w:hAnsi="Arial" w:cs="David"/>
          <w:b/>
          <w:bCs/>
          <w:rtl/>
        </w:rPr>
        <w:t>זכות עמידה</w:t>
      </w:r>
      <w:r w:rsidRPr="002015B0">
        <w:rPr>
          <w:rFonts w:ascii="Arial" w:hAnsi="Arial" w:cs="David"/>
          <w:rtl/>
        </w:rPr>
        <w:t>- עקרון במשפט המנהלי הקובע כי רק אדם אשר אינטרס אישי שלו נפגע על-ידי מעשה או מחדל של רשויות השלטון יוכל לבוא בשעריו של בג"צ. בשנים האחרונות הורחבה זכות העמידה גם לעותרים אשר יצביעו על קיומו של אינטרס ציבורי שנפגע, כאשר העותרים הנם חלק מהציבור שנפגע ואשר חובת הרשות לפעול בנאמנות מכוונת גם כלפיהם.</w:t>
      </w:r>
    </w:p>
    <w:p w:rsidR="00895FDA" w:rsidRPr="002015B0" w:rsidRDefault="001E2CE2" w:rsidP="00895FDA">
      <w:pPr>
        <w:pStyle w:val="NormalWeb"/>
        <w:bidi/>
        <w:spacing w:beforeAutospacing="0" w:after="0" w:afterAutospacing="0"/>
        <w:ind w:right="113"/>
        <w:jc w:val="both"/>
        <w:rPr>
          <w:rFonts w:ascii="Arial" w:hAnsi="Arial" w:cs="David"/>
          <w:rtl/>
        </w:rPr>
      </w:pPr>
      <w:r w:rsidRPr="002015B0">
        <w:rPr>
          <w:rFonts w:ascii="Arial" w:hAnsi="Arial" w:cs="David" w:hint="cs"/>
          <w:b/>
          <w:bCs/>
          <w:rtl/>
        </w:rPr>
        <w:t>זיכרו</w:t>
      </w:r>
      <w:r w:rsidRPr="002015B0">
        <w:rPr>
          <w:rFonts w:ascii="Arial" w:hAnsi="Arial" w:cs="David" w:hint="eastAsia"/>
          <w:b/>
          <w:bCs/>
          <w:rtl/>
        </w:rPr>
        <w:t>ן</w:t>
      </w:r>
      <w:r w:rsidR="00895FDA" w:rsidRPr="002015B0">
        <w:rPr>
          <w:rFonts w:ascii="Arial" w:hAnsi="Arial" w:cs="David"/>
          <w:b/>
          <w:bCs/>
          <w:rtl/>
        </w:rPr>
        <w:t xml:space="preserve"> דברים</w:t>
      </w:r>
      <w:r w:rsidR="00895FDA" w:rsidRPr="002015B0">
        <w:rPr>
          <w:rFonts w:ascii="Arial" w:hAnsi="Arial" w:cs="David"/>
          <w:rtl/>
        </w:rPr>
        <w:t>- מסמך בו מעוגנות ההסכמות הבסיסיות בהסכם</w:t>
      </w:r>
      <w:r w:rsidR="00895FDA" w:rsidRPr="002015B0">
        <w:rPr>
          <w:rFonts w:ascii="Arial" w:hAnsi="Arial" w:cs="David"/>
        </w:rPr>
        <w:t xml:space="preserve"> </w:t>
      </w:r>
      <w:r w:rsidR="00895FDA" w:rsidRPr="002015B0">
        <w:rPr>
          <w:rFonts w:ascii="Arial" w:hAnsi="Arial" w:cs="David"/>
          <w:rtl/>
        </w:rPr>
        <w:t xml:space="preserve">שעתיד להיערך בין שני צדדים. על-פי ההלכה המשפטית הנוהגת כיום, על </w:t>
      </w:r>
      <w:r w:rsidRPr="002015B0">
        <w:rPr>
          <w:rFonts w:ascii="Arial" w:hAnsi="Arial" w:cs="David" w:hint="cs"/>
          <w:rtl/>
        </w:rPr>
        <w:t>זיכרו</w:t>
      </w:r>
      <w:r w:rsidRPr="002015B0">
        <w:rPr>
          <w:rFonts w:ascii="Arial" w:hAnsi="Arial" w:cs="David" w:hint="eastAsia"/>
          <w:rtl/>
        </w:rPr>
        <w:t>ן</w:t>
      </w:r>
      <w:r w:rsidR="00895FDA" w:rsidRPr="002015B0">
        <w:rPr>
          <w:rFonts w:ascii="Arial" w:hAnsi="Arial" w:cs="David"/>
          <w:rtl/>
        </w:rPr>
        <w:t xml:space="preserve"> הדברים לכלול את הפרטים המהותיים והחיוניים של העסקה, אך יחד עם זאת - אין הכרח כי</w:t>
      </w:r>
      <w:r w:rsidR="00895FDA" w:rsidRPr="002015B0">
        <w:rPr>
          <w:rFonts w:ascii="Arial" w:hAnsi="Arial" w:cs="David"/>
        </w:rPr>
        <w:t xml:space="preserve"> </w:t>
      </w:r>
      <w:r w:rsidR="00895FDA" w:rsidRPr="002015B0">
        <w:rPr>
          <w:rFonts w:ascii="Arial" w:hAnsi="Arial" w:cs="David"/>
          <w:rtl/>
        </w:rPr>
        <w:t xml:space="preserve">כל פרטי ההסכם ימצאו את ביטויים במסגרת </w:t>
      </w:r>
      <w:r w:rsidRPr="002015B0">
        <w:rPr>
          <w:rFonts w:ascii="Arial" w:hAnsi="Arial" w:cs="David" w:hint="cs"/>
          <w:rtl/>
        </w:rPr>
        <w:t>זיכרו</w:t>
      </w:r>
      <w:r w:rsidRPr="002015B0">
        <w:rPr>
          <w:rFonts w:ascii="Arial" w:hAnsi="Arial" w:cs="David" w:hint="eastAsia"/>
          <w:rtl/>
        </w:rPr>
        <w:t>ן</w:t>
      </w:r>
      <w:r w:rsidR="00895FDA" w:rsidRPr="002015B0">
        <w:rPr>
          <w:rFonts w:ascii="Arial" w:hAnsi="Arial" w:cs="David"/>
          <w:rtl/>
        </w:rPr>
        <w:t xml:space="preserve"> הדברים ופרטים חסרים יהיו ניתנים להשלמה באמצעות מנגנוני השלמת הפרטים.</w:t>
      </w:r>
    </w:p>
    <w:p w:rsidR="00895FDA" w:rsidRPr="002015B0" w:rsidRDefault="00895FDA" w:rsidP="00895FDA">
      <w:pPr>
        <w:pStyle w:val="NormalWeb"/>
        <w:bidi/>
        <w:spacing w:beforeAutospacing="0" w:after="0" w:afterAutospacing="0"/>
        <w:ind w:right="113"/>
        <w:jc w:val="both"/>
        <w:rPr>
          <w:rFonts w:ascii="Arial" w:hAnsi="Arial" w:cs="David"/>
          <w:rtl/>
        </w:rPr>
      </w:pPr>
      <w:r>
        <w:rPr>
          <w:rFonts w:ascii="Arial" w:hAnsi="Arial" w:cs="David"/>
          <w:b/>
          <w:bCs/>
          <w:rtl/>
        </w:rPr>
        <w:t>זמן סביר</w:t>
      </w:r>
      <w:r w:rsidRPr="002015B0">
        <w:rPr>
          <w:rFonts w:ascii="Arial" w:hAnsi="Arial" w:cs="David"/>
          <w:rtl/>
        </w:rPr>
        <w:t>- תקופת זמן שאיננה מוגדרת ואיננה קבועה אשר נבחנת על-פי נסיבות העניין, לרבות: נוהגי המסחר, התנהגות ומגעים קודמים בין הצדדים, נשוא החוזה ומטרתו, סוג הניצע ועוד.</w:t>
      </w:r>
    </w:p>
    <w:p w:rsidR="00895FDA" w:rsidRPr="002015B0" w:rsidRDefault="00895FDA" w:rsidP="00895FDA">
      <w:pPr>
        <w:pStyle w:val="NormalWeb"/>
        <w:bidi/>
        <w:spacing w:beforeAutospacing="0" w:after="0" w:afterAutospacing="0"/>
        <w:ind w:right="113"/>
        <w:jc w:val="both"/>
        <w:rPr>
          <w:rFonts w:ascii="Arial" w:hAnsi="Arial" w:cs="David"/>
          <w:rtl/>
        </w:rPr>
      </w:pPr>
      <w:r w:rsidRPr="002015B0">
        <w:rPr>
          <w:rFonts w:ascii="Arial" w:hAnsi="Arial" w:cs="David"/>
          <w:b/>
          <w:bCs/>
          <w:rtl/>
        </w:rPr>
        <w:t>חברה</w:t>
      </w:r>
      <w:r w:rsidRPr="002015B0">
        <w:rPr>
          <w:rFonts w:ascii="Arial" w:hAnsi="Arial" w:cs="David"/>
          <w:rtl/>
        </w:rPr>
        <w:t>- תאגיד לשם הפקת רווחים כאשר אחריות החברים היא מוגבלת.</w:t>
      </w:r>
    </w:p>
    <w:p w:rsidR="00895FDA" w:rsidRPr="002015B0" w:rsidRDefault="00895FDA" w:rsidP="00895FDA">
      <w:pPr>
        <w:pStyle w:val="NormalWeb"/>
        <w:bidi/>
        <w:spacing w:beforeAutospacing="0" w:after="0" w:afterAutospacing="0"/>
        <w:ind w:right="113"/>
        <w:jc w:val="both"/>
        <w:rPr>
          <w:rFonts w:ascii="Arial" w:hAnsi="Arial" w:cs="David"/>
          <w:rtl/>
        </w:rPr>
      </w:pPr>
      <w:r w:rsidRPr="002015B0">
        <w:rPr>
          <w:rFonts w:ascii="Arial" w:hAnsi="Arial" w:cs="David"/>
          <w:b/>
          <w:bCs/>
          <w:rtl/>
        </w:rPr>
        <w:t>חברה מוגבלת באחריות</w:t>
      </w:r>
      <w:r w:rsidRPr="002015B0">
        <w:rPr>
          <w:rFonts w:ascii="Arial" w:hAnsi="Arial" w:cs="David"/>
          <w:rtl/>
        </w:rPr>
        <w:t xml:space="preserve">- חברה שאחריות בעלי המניות שלה מוגבלת באופן המפורט בתקנון החברה. החברה חייבת לציין את המלים "בערבון מוגבל" או "בע"מ" בסוף שמה. </w:t>
      </w:r>
    </w:p>
    <w:p w:rsidR="00DE468D" w:rsidRPr="002015B0" w:rsidRDefault="00DE468D" w:rsidP="00DE468D">
      <w:pPr>
        <w:pStyle w:val="NormalWeb"/>
        <w:bidi/>
        <w:spacing w:beforeAutospacing="0" w:after="0" w:afterAutospacing="0"/>
        <w:ind w:right="113"/>
        <w:jc w:val="both"/>
        <w:rPr>
          <w:rFonts w:ascii="Arial" w:hAnsi="Arial" w:cs="David"/>
        </w:rPr>
      </w:pPr>
      <w:r w:rsidRPr="002015B0">
        <w:rPr>
          <w:rFonts w:ascii="Arial" w:hAnsi="Arial" w:cs="David"/>
          <w:b/>
          <w:bCs/>
          <w:rtl/>
        </w:rPr>
        <w:t>חברה פרטית</w:t>
      </w:r>
      <w:r w:rsidRPr="002015B0">
        <w:rPr>
          <w:rFonts w:ascii="Arial" w:hAnsi="Arial" w:cs="David"/>
          <w:rtl/>
        </w:rPr>
        <w:t>- חברה שאיננה חברה ציבורית (הגדרה שיורית).</w:t>
      </w:r>
    </w:p>
    <w:p w:rsidR="00DE468D" w:rsidRPr="002015B0" w:rsidRDefault="00DE468D" w:rsidP="00DE468D">
      <w:pPr>
        <w:pStyle w:val="NormalWeb"/>
        <w:bidi/>
        <w:spacing w:beforeAutospacing="0" w:after="0" w:afterAutospacing="0"/>
        <w:ind w:right="113"/>
        <w:jc w:val="both"/>
        <w:rPr>
          <w:rFonts w:ascii="Arial" w:hAnsi="Arial" w:cs="David"/>
          <w:rtl/>
        </w:rPr>
      </w:pPr>
      <w:r w:rsidRPr="002015B0">
        <w:rPr>
          <w:rFonts w:ascii="Arial" w:hAnsi="Arial" w:cs="David"/>
          <w:b/>
          <w:bCs/>
          <w:rtl/>
        </w:rPr>
        <w:t>חברה ציבורית</w:t>
      </w:r>
      <w:r w:rsidRPr="002015B0">
        <w:rPr>
          <w:rFonts w:ascii="Arial" w:hAnsi="Arial" w:cs="David"/>
          <w:rtl/>
        </w:rPr>
        <w:t>- חברה שמניותיה רשומות בבורסה או שהוצעו לציבור על-פי תשקיף כמשמעותו בחוק ניירות ערך ושמניותיה מוחזקות בידי הציבור.</w:t>
      </w:r>
    </w:p>
    <w:p w:rsidR="00DE468D" w:rsidRPr="002015B0" w:rsidRDefault="00DE468D" w:rsidP="00DE468D">
      <w:pPr>
        <w:pStyle w:val="NormalWeb"/>
        <w:bidi/>
        <w:spacing w:beforeAutospacing="0" w:after="0" w:afterAutospacing="0"/>
        <w:ind w:right="113"/>
        <w:jc w:val="both"/>
        <w:rPr>
          <w:rFonts w:ascii="Arial" w:hAnsi="Arial" w:cs="David"/>
        </w:rPr>
      </w:pPr>
      <w:r w:rsidRPr="002015B0">
        <w:rPr>
          <w:rFonts w:ascii="Arial" w:hAnsi="Arial" w:cs="David"/>
          <w:b/>
          <w:bCs/>
          <w:rtl/>
        </w:rPr>
        <w:t>חברה שאינה מוגבלת באחריות</w:t>
      </w:r>
      <w:r w:rsidRPr="002015B0">
        <w:rPr>
          <w:rFonts w:ascii="Arial" w:hAnsi="Arial" w:cs="David"/>
          <w:rtl/>
        </w:rPr>
        <w:t>- חברה שאחריות בעלי המניות שלה אינה מוגבלת, ולפיכך לא תציין בסוף שמה את המלים "בערבון מוגבל" או "בע"מ".</w:t>
      </w:r>
    </w:p>
    <w:p w:rsidR="00895FDA" w:rsidRPr="002015B0" w:rsidRDefault="00895FDA" w:rsidP="00895FDA">
      <w:pPr>
        <w:pStyle w:val="NormalWeb"/>
        <w:bidi/>
        <w:spacing w:beforeAutospacing="0" w:after="0" w:afterAutospacing="0"/>
        <w:ind w:right="113"/>
        <w:jc w:val="both"/>
        <w:rPr>
          <w:rFonts w:ascii="Arial" w:hAnsi="Arial" w:cs="David"/>
          <w:rtl/>
        </w:rPr>
      </w:pPr>
      <w:r w:rsidRPr="002015B0">
        <w:rPr>
          <w:rFonts w:ascii="Arial" w:hAnsi="Arial" w:cs="David"/>
          <w:b/>
          <w:bCs/>
          <w:rtl/>
        </w:rPr>
        <w:t>חובת זהירות</w:t>
      </w:r>
      <w:r w:rsidRPr="002015B0">
        <w:rPr>
          <w:rFonts w:ascii="Arial" w:hAnsi="Arial" w:cs="David"/>
          <w:rtl/>
        </w:rPr>
        <w:t xml:space="preserve">- מונח משפטי המתאר מחויבות של אדם אחד כלפי אדם אחר. המקור ההיסטורי לחובת הזהירות נמצא בפסק-הדין </w:t>
      </w:r>
      <w:r w:rsidRPr="002015B0">
        <w:rPr>
          <w:rFonts w:ascii="Arial" w:hAnsi="Arial" w:cs="David"/>
        </w:rPr>
        <w:t>Donoghue Vs. Stevenson</w:t>
      </w:r>
      <w:r w:rsidRPr="002015B0">
        <w:rPr>
          <w:rFonts w:ascii="Arial" w:hAnsi="Arial" w:cs="David"/>
          <w:rtl/>
        </w:rPr>
        <w:t xml:space="preserve"> </w:t>
      </w:r>
      <w:r w:rsidRPr="002015B0">
        <w:rPr>
          <w:rFonts w:ascii="Arial" w:hAnsi="Arial" w:cs="David" w:hint="cs"/>
          <w:rtl/>
        </w:rPr>
        <w:t>הבריטי, שם נקבע הכלל הרחב לפיו יש לאדם חובת זהירות כלפי מי שקרוב אליו (עקרון "השכנות").</w:t>
      </w:r>
    </w:p>
    <w:p w:rsidR="00741CE9" w:rsidRPr="002015B0" w:rsidRDefault="00741CE9" w:rsidP="00741CE9">
      <w:pPr>
        <w:pStyle w:val="NormalWeb"/>
        <w:bidi/>
        <w:spacing w:beforeAutospacing="0" w:after="0" w:afterAutospacing="0"/>
        <w:ind w:right="113"/>
        <w:jc w:val="both"/>
        <w:rPr>
          <w:rFonts w:ascii="Arial" w:hAnsi="Arial" w:cs="David"/>
          <w:rtl/>
        </w:rPr>
      </w:pPr>
      <w:r w:rsidRPr="002015B0">
        <w:rPr>
          <w:rFonts w:ascii="Arial" w:hAnsi="Arial" w:cs="David"/>
          <w:b/>
          <w:bCs/>
          <w:rtl/>
        </w:rPr>
        <w:lastRenderedPageBreak/>
        <w:t>חובת זהירות מושגית</w:t>
      </w:r>
      <w:r w:rsidRPr="002015B0">
        <w:rPr>
          <w:rFonts w:ascii="Arial" w:hAnsi="Arial" w:cs="David"/>
          <w:rtl/>
        </w:rPr>
        <w:t>- הרכיב הראשון בתוך חובת הזהירות. בודק האם באופן כללי ועקרוני קיימת חובת זהירות בין סוג האנשים שהתובע שייך אליהם לבין סוג האנשים שהנתבע נמנה עמם, ביחס לסוג הנזק שבו מדובר ואופן התרחשותו.</w:t>
      </w:r>
    </w:p>
    <w:p w:rsidR="00741CE9" w:rsidRPr="002015B0" w:rsidRDefault="00741CE9" w:rsidP="00741CE9">
      <w:pPr>
        <w:pStyle w:val="NormalWeb"/>
        <w:bidi/>
        <w:spacing w:beforeAutospacing="0" w:after="0" w:afterAutospacing="0"/>
        <w:ind w:right="113"/>
        <w:jc w:val="both"/>
        <w:rPr>
          <w:rFonts w:ascii="Arial" w:hAnsi="Arial" w:cs="David"/>
        </w:rPr>
      </w:pPr>
      <w:r w:rsidRPr="002015B0">
        <w:rPr>
          <w:rFonts w:ascii="Arial" w:hAnsi="Arial" w:cs="David"/>
          <w:b/>
          <w:bCs/>
          <w:rtl/>
        </w:rPr>
        <w:t>חובת זהירות קונקרטית</w:t>
      </w:r>
      <w:r w:rsidRPr="002015B0">
        <w:rPr>
          <w:rFonts w:ascii="Arial" w:hAnsi="Arial" w:cs="David"/>
          <w:rtl/>
        </w:rPr>
        <w:t>- הרכיב השני בתוך חובת הזהירות. בודק האם הנתבע הקונקרטי חב חובת זהירות כלפי התובע הקונקרטי ביחס לנזק הקונקרטי שאירע ובאופן הקונקרטי שבו אירע הנזק.</w:t>
      </w:r>
    </w:p>
    <w:p w:rsidR="00895FDA" w:rsidRPr="002015B0" w:rsidRDefault="00895FDA" w:rsidP="00895FDA">
      <w:pPr>
        <w:pStyle w:val="NormalWeb"/>
        <w:bidi/>
        <w:spacing w:beforeAutospacing="0" w:after="0" w:afterAutospacing="0"/>
        <w:ind w:right="113"/>
        <w:jc w:val="both"/>
        <w:rPr>
          <w:rFonts w:ascii="Arial" w:hAnsi="Arial" w:cs="David"/>
          <w:rtl/>
        </w:rPr>
      </w:pPr>
      <w:r w:rsidRPr="002015B0">
        <w:rPr>
          <w:rFonts w:ascii="Arial" w:hAnsi="Arial" w:cs="David"/>
          <w:b/>
          <w:bCs/>
          <w:rtl/>
        </w:rPr>
        <w:t>חוזה</w:t>
      </w:r>
      <w:r w:rsidRPr="002015B0">
        <w:rPr>
          <w:rFonts w:ascii="Arial" w:hAnsi="Arial" w:cs="David"/>
          <w:rtl/>
        </w:rPr>
        <w:t xml:space="preserve">- הסכם שהצדדים לו מתחייבים לפעול על-פיו וכי הוא יחייב אותם מבחינה משפטית, וכן במקרה של </w:t>
      </w:r>
      <w:r>
        <w:rPr>
          <w:rFonts w:ascii="Arial" w:hAnsi="Arial" w:cs="David"/>
          <w:rtl/>
        </w:rPr>
        <w:t>הפרתו</w:t>
      </w:r>
      <w:r w:rsidRPr="002015B0">
        <w:rPr>
          <w:rFonts w:ascii="Arial" w:hAnsi="Arial" w:cs="David"/>
          <w:rtl/>
        </w:rPr>
        <w:t>- הוא יהיה ניתן לאכיפה על-ידי בית המשפט.</w:t>
      </w:r>
    </w:p>
    <w:p w:rsidR="00895FDA" w:rsidRDefault="00895FDA" w:rsidP="00895FDA">
      <w:pPr>
        <w:pStyle w:val="NormalWeb"/>
        <w:bidi/>
        <w:spacing w:beforeAutospacing="0" w:after="0" w:afterAutospacing="0"/>
        <w:ind w:right="113"/>
        <w:jc w:val="both"/>
        <w:rPr>
          <w:rFonts w:ascii="Arial" w:hAnsi="Arial" w:cs="David" w:hint="cs"/>
          <w:rtl/>
        </w:rPr>
      </w:pPr>
      <w:r w:rsidRPr="002015B0">
        <w:rPr>
          <w:rFonts w:ascii="Arial" w:hAnsi="Arial" w:cs="David"/>
          <w:b/>
          <w:bCs/>
          <w:rtl/>
        </w:rPr>
        <w:t>חוזה אופציה</w:t>
      </w:r>
      <w:r w:rsidRPr="002015B0">
        <w:rPr>
          <w:rFonts w:ascii="Arial" w:hAnsi="Arial" w:cs="David"/>
          <w:rtl/>
        </w:rPr>
        <w:t>- חוזה בין שני צדדים במסגרתו מעניק אחד הצדדים לצד השני זכות לממש/לרכוש/למכור זכות ו/או נכס כלשהם תמורת מחיר קבוע וידוע מראש ובמועד קבוע וידוע מראש.</w:t>
      </w:r>
    </w:p>
    <w:p w:rsidR="00895FDA" w:rsidRPr="002015B0" w:rsidRDefault="00895FDA" w:rsidP="00895FDA">
      <w:pPr>
        <w:pStyle w:val="NormalWeb"/>
        <w:bidi/>
        <w:spacing w:beforeAutospacing="0" w:after="0" w:afterAutospacing="0"/>
        <w:ind w:right="113"/>
        <w:jc w:val="both"/>
        <w:rPr>
          <w:rFonts w:ascii="Arial" w:hAnsi="Arial" w:cs="David"/>
          <w:rtl/>
        </w:rPr>
      </w:pPr>
      <w:r w:rsidRPr="002015B0">
        <w:rPr>
          <w:rFonts w:ascii="Arial" w:hAnsi="Arial" w:cs="David"/>
          <w:b/>
          <w:bCs/>
          <w:rtl/>
        </w:rPr>
        <w:t>חוק החוזים (תרופות בשל הפרת חוזה), תשל"א</w:t>
      </w:r>
      <w:r w:rsidRPr="002015B0">
        <w:rPr>
          <w:rFonts w:ascii="Arial" w:hAnsi="Arial" w:cs="David"/>
          <w:rtl/>
        </w:rPr>
        <w:t>-</w:t>
      </w:r>
      <w:r w:rsidRPr="002015B0">
        <w:rPr>
          <w:rFonts w:ascii="Arial" w:hAnsi="Arial" w:cs="David"/>
          <w:b/>
          <w:bCs/>
          <w:rtl/>
        </w:rPr>
        <w:t>1970</w:t>
      </w:r>
      <w:r w:rsidRPr="002015B0">
        <w:rPr>
          <w:rFonts w:ascii="Arial" w:hAnsi="Arial" w:cs="David"/>
          <w:rtl/>
        </w:rPr>
        <w:t>- החוק אשר עוסק בתרופות ובסעדים הניתנים לצד שנפגע עקב הפרתו של החוזה עמו. החוק מונה שתי תרופות: זכות הנפגע לתבוע את אכיפתו של החוזה או לבטלו, וזאת בנוסף לזכותו של הנפגע לפיצויים, בנוסף על אחת התרופות הנ"ל או במקומן.</w:t>
      </w:r>
    </w:p>
    <w:p w:rsidR="00741CE9" w:rsidRPr="002015B0" w:rsidRDefault="00741CE9" w:rsidP="00741CE9">
      <w:pPr>
        <w:pStyle w:val="NormalWeb"/>
        <w:bidi/>
        <w:spacing w:beforeAutospacing="0" w:after="0" w:afterAutospacing="0"/>
        <w:ind w:right="113"/>
        <w:jc w:val="both"/>
        <w:rPr>
          <w:rFonts w:ascii="Arial" w:hAnsi="Arial" w:cs="David"/>
          <w:rtl/>
        </w:rPr>
      </w:pPr>
      <w:r w:rsidRPr="002015B0">
        <w:rPr>
          <w:rFonts w:ascii="Arial" w:hAnsi="Arial" w:cs="David"/>
          <w:b/>
          <w:bCs/>
          <w:rtl/>
        </w:rPr>
        <w:t>חוק "לא תעמוד על דם רעך"</w:t>
      </w:r>
      <w:r w:rsidRPr="002015B0">
        <w:rPr>
          <w:rFonts w:ascii="Arial" w:hAnsi="Arial" w:cs="David"/>
          <w:rtl/>
        </w:rPr>
        <w:t>- חוק שנכנס לתוקף ב-28 בספטמבר 1998 אשר הופך את החובה המוסרית של עזרה לזולת לחובה הנובעת מחוק. העובר על הוראת החוק עונשו קנס.</w:t>
      </w:r>
    </w:p>
    <w:p w:rsidR="00741CE9" w:rsidRPr="002015B0" w:rsidRDefault="00741CE9" w:rsidP="00741CE9">
      <w:pPr>
        <w:pStyle w:val="NormalWeb"/>
        <w:bidi/>
        <w:spacing w:beforeAutospacing="0" w:after="0" w:afterAutospacing="0"/>
        <w:ind w:right="113"/>
        <w:jc w:val="both"/>
        <w:rPr>
          <w:rFonts w:ascii="Arial" w:hAnsi="Arial" w:cs="David"/>
          <w:rtl/>
        </w:rPr>
      </w:pPr>
      <w:r w:rsidRPr="002015B0">
        <w:rPr>
          <w:rFonts w:ascii="Arial" w:hAnsi="Arial" w:cs="David"/>
          <w:b/>
          <w:bCs/>
          <w:rtl/>
        </w:rPr>
        <w:t>חוקה</w:t>
      </w:r>
      <w:r w:rsidRPr="002015B0">
        <w:rPr>
          <w:rFonts w:ascii="Arial" w:hAnsi="Arial" w:cs="David"/>
          <w:rtl/>
        </w:rPr>
        <w:t xml:space="preserve">- מבחינת תורת המדינה המודרנית, החוקה היא המשפט הפוזיטיבי העליון של קהילה, והיא כוללת הוראות בדבר מערכת היחסים בין רשויות השלטון בינן לבין </w:t>
      </w:r>
      <w:r w:rsidRPr="002015B0">
        <w:rPr>
          <w:rFonts w:ascii="Arial" w:hAnsi="Arial" w:cs="David"/>
        </w:rPr>
        <w:t xml:space="preserve"> </w:t>
      </w:r>
      <w:r w:rsidRPr="002015B0">
        <w:rPr>
          <w:rFonts w:ascii="Arial" w:hAnsi="Arial" w:cs="David"/>
          <w:rtl/>
        </w:rPr>
        <w:t xml:space="preserve">עצמן ובינן לבין האזרחים. </w:t>
      </w:r>
    </w:p>
    <w:p w:rsidR="00741CE9" w:rsidRPr="002015B0" w:rsidRDefault="00741CE9" w:rsidP="00741CE9">
      <w:pPr>
        <w:pStyle w:val="NormalWeb"/>
        <w:bidi/>
        <w:spacing w:beforeAutospacing="0" w:after="0" w:afterAutospacing="0"/>
        <w:ind w:right="113"/>
        <w:jc w:val="both"/>
        <w:rPr>
          <w:rFonts w:ascii="Arial" w:hAnsi="Arial" w:cs="David"/>
          <w:rtl/>
        </w:rPr>
      </w:pPr>
      <w:r w:rsidRPr="002015B0">
        <w:rPr>
          <w:rFonts w:ascii="Arial" w:hAnsi="Arial" w:cs="David"/>
          <w:b/>
          <w:bCs/>
          <w:rtl/>
        </w:rPr>
        <w:t>חוקה מטריאלית</w:t>
      </w:r>
      <w:r w:rsidRPr="002015B0">
        <w:rPr>
          <w:rFonts w:ascii="Arial" w:hAnsi="Arial" w:cs="David"/>
          <w:rtl/>
        </w:rPr>
        <w:t xml:space="preserve">- אוסף עקרונות בלתי כתובים שהתגבשו במשך השנים ל"מוסכמות חוקתיות". </w:t>
      </w:r>
    </w:p>
    <w:p w:rsidR="00741CE9" w:rsidRPr="002015B0" w:rsidRDefault="00741CE9" w:rsidP="00741CE9">
      <w:pPr>
        <w:pStyle w:val="NormalWeb"/>
        <w:bidi/>
        <w:spacing w:beforeAutospacing="0" w:after="0" w:afterAutospacing="0"/>
        <w:ind w:right="113"/>
        <w:jc w:val="both"/>
        <w:rPr>
          <w:rFonts w:ascii="Arial" w:hAnsi="Arial" w:cs="David"/>
          <w:rtl/>
        </w:rPr>
      </w:pPr>
      <w:r w:rsidRPr="002015B0">
        <w:rPr>
          <w:rFonts w:ascii="Arial" w:hAnsi="Arial" w:cs="David"/>
          <w:b/>
          <w:bCs/>
          <w:rtl/>
        </w:rPr>
        <w:t>חוקה פורמאלית</w:t>
      </w:r>
      <w:r w:rsidRPr="002015B0">
        <w:rPr>
          <w:rFonts w:ascii="Arial" w:hAnsi="Arial" w:cs="David"/>
          <w:rtl/>
        </w:rPr>
        <w:t xml:space="preserve">- מסמך שחובר ע"י אנשים בשר ודם במדינה, אשר מהווה מסמך מהסדר הגבוה ביותר - נורמה עליונה במדינה ממנה נובעות נורמות אחרות. באנגלית היא קרויה </w:t>
      </w:r>
      <w:r w:rsidRPr="002015B0">
        <w:rPr>
          <w:rFonts w:ascii="Arial" w:hAnsi="Arial" w:cs="David"/>
        </w:rPr>
        <w:t>Constitution</w:t>
      </w:r>
      <w:r w:rsidRPr="002015B0">
        <w:rPr>
          <w:rFonts w:ascii="Arial" w:hAnsi="Arial" w:cs="David"/>
          <w:rtl/>
        </w:rPr>
        <w:t xml:space="preserve"> </w:t>
      </w:r>
      <w:r w:rsidRPr="002015B0">
        <w:rPr>
          <w:rFonts w:ascii="Arial" w:hAnsi="Arial" w:cs="David" w:hint="cs"/>
          <w:rtl/>
        </w:rPr>
        <w:t>- כלומר, יוצרת את מבנה המדינה.</w:t>
      </w:r>
    </w:p>
    <w:p w:rsidR="00741CE9" w:rsidRPr="002015B0" w:rsidRDefault="00741CE9" w:rsidP="00741CE9">
      <w:pPr>
        <w:pStyle w:val="NormalWeb"/>
        <w:bidi/>
        <w:spacing w:beforeAutospacing="0" w:after="0" w:afterAutospacing="0"/>
        <w:ind w:right="113"/>
        <w:jc w:val="both"/>
        <w:rPr>
          <w:rFonts w:ascii="Arial" w:hAnsi="Arial" w:cs="David"/>
        </w:rPr>
      </w:pPr>
      <w:r>
        <w:rPr>
          <w:rFonts w:ascii="Arial" w:hAnsi="Arial" w:cs="David"/>
          <w:b/>
          <w:bCs/>
          <w:rtl/>
        </w:rPr>
        <w:t>חוקי יסו</w:t>
      </w:r>
      <w:r>
        <w:rPr>
          <w:rFonts w:ascii="Arial" w:hAnsi="Arial" w:cs="David" w:hint="cs"/>
          <w:b/>
          <w:bCs/>
          <w:rtl/>
        </w:rPr>
        <w:t>ד</w:t>
      </w:r>
      <w:r w:rsidRPr="002015B0">
        <w:rPr>
          <w:rFonts w:ascii="Arial" w:hAnsi="Arial" w:cs="David"/>
          <w:rtl/>
        </w:rPr>
        <w:t>- 11 חוקים של כנסת ישראל (נכון להיום) אשר עוסקים במבנה השלטון בישראל, ביחסי רשויות השלטון בינן לבין עצמן ובינן לבין האזרחים, וכן בזכויות האדם המוגנות במדינת ישראל. זוהי דרכה המיוחדת של כנסת ישראל לגבש חוקה לישראל - לא כמקשה אחת, אלא פרקים-פרקים אשר יובאו בבוא היום בפני הכנסת, לשם איגוד כל הפרקים יחד לחוקת המדינה.</w:t>
      </w:r>
    </w:p>
    <w:p w:rsidR="00895FDA" w:rsidRDefault="00741CE9" w:rsidP="00741CE9">
      <w:pPr>
        <w:pStyle w:val="NormalWeb"/>
        <w:bidi/>
        <w:spacing w:beforeAutospacing="0" w:after="0" w:afterAutospacing="0"/>
        <w:ind w:right="113"/>
        <w:jc w:val="both"/>
        <w:rPr>
          <w:rFonts w:ascii="Arial" w:hAnsi="Arial" w:cs="David" w:hint="cs"/>
          <w:rtl/>
        </w:rPr>
      </w:pPr>
      <w:r w:rsidRPr="002015B0">
        <w:rPr>
          <w:rFonts w:ascii="Arial" w:hAnsi="Arial" w:cs="David"/>
          <w:b/>
          <w:bCs/>
          <w:rtl/>
        </w:rPr>
        <w:t>חלוקה מחדש ואספקת שירותים</w:t>
      </w:r>
      <w:r w:rsidRPr="002015B0">
        <w:rPr>
          <w:rFonts w:ascii="Arial" w:hAnsi="Arial" w:cs="David"/>
          <w:rtl/>
        </w:rPr>
        <w:t>- פונקציה נוספת שכל מערכת משפט ממלאת. באמצעות מנגנון המיסוי לוקחת המדינה חלק מהרכוש של האזרחים ומחלקת אותו מחדש. בנוסף, המדינה גם מספקת שירותים לאזרחיה: תחבורה, בריאות, בטחון, חינוך וכן כל דבר אחר שהמדינה עושה במסגרת החוק.</w:t>
      </w:r>
    </w:p>
    <w:p w:rsidR="00741CE9" w:rsidRPr="00741CE9" w:rsidRDefault="00741CE9" w:rsidP="00741CE9">
      <w:pPr>
        <w:pStyle w:val="NormalWeb"/>
        <w:bidi/>
        <w:spacing w:beforeAutospacing="0" w:after="0" w:afterAutospacing="0"/>
        <w:ind w:right="113"/>
        <w:jc w:val="both"/>
        <w:rPr>
          <w:rFonts w:ascii="Arial" w:hAnsi="Arial" w:cs="David"/>
          <w:rtl/>
        </w:rPr>
      </w:pPr>
      <w:r w:rsidRPr="002015B0">
        <w:rPr>
          <w:rFonts w:ascii="Arial" w:hAnsi="Arial" w:cs="David"/>
          <w:b/>
          <w:bCs/>
          <w:rtl/>
        </w:rPr>
        <w:t>חקיקה</w:t>
      </w:r>
      <w:r w:rsidRPr="002015B0">
        <w:rPr>
          <w:rFonts w:ascii="Arial" w:hAnsi="Arial" w:cs="David"/>
          <w:rtl/>
        </w:rPr>
        <w:t xml:space="preserve">- מעשה שמכוון מעיקרו ליצירת נורמה משפטית רשמית המנוסחת באופן אחיד וברור. בתורת המשפט מוגדר "חוק" כנורמה פוזיטיבית המבוטאת בצורה של כלל פומבי שנוצרת ע"י הגורם השולט בחברה. </w:t>
      </w:r>
    </w:p>
    <w:p w:rsidR="00741CE9" w:rsidRPr="002015B0" w:rsidRDefault="00741CE9" w:rsidP="00741CE9">
      <w:pPr>
        <w:pStyle w:val="NormalWeb"/>
        <w:bidi/>
        <w:spacing w:beforeAutospacing="0" w:after="0" w:afterAutospacing="0"/>
        <w:ind w:right="113"/>
        <w:jc w:val="both"/>
        <w:rPr>
          <w:rFonts w:ascii="Arial" w:hAnsi="Arial" w:cs="David"/>
          <w:rtl/>
        </w:rPr>
      </w:pPr>
      <w:r w:rsidRPr="002015B0">
        <w:rPr>
          <w:rFonts w:ascii="Arial" w:hAnsi="Arial" w:cs="David"/>
          <w:b/>
          <w:bCs/>
          <w:rtl/>
        </w:rPr>
        <w:t>חקיקה משנית</w:t>
      </w:r>
      <w:r w:rsidRPr="002015B0">
        <w:rPr>
          <w:rFonts w:ascii="Arial" w:hAnsi="Arial" w:cs="David"/>
          <w:rtl/>
        </w:rPr>
        <w:t>- כל מעשה חקיקה שלא נוצר בכנסת.</w:t>
      </w:r>
    </w:p>
    <w:p w:rsidR="009478B7" w:rsidRPr="009478B7" w:rsidRDefault="009478B7" w:rsidP="009478B7">
      <w:pPr>
        <w:pStyle w:val="NormalWeb"/>
        <w:bidi/>
        <w:spacing w:beforeAutospacing="0" w:after="0" w:afterAutospacing="0"/>
        <w:ind w:right="113"/>
        <w:jc w:val="both"/>
        <w:rPr>
          <w:rFonts w:ascii="Arial" w:hAnsi="Arial" w:cs="David" w:hint="cs"/>
          <w:rtl/>
        </w:rPr>
      </w:pPr>
      <w:r w:rsidRPr="002015B0">
        <w:rPr>
          <w:rFonts w:ascii="Arial" w:hAnsi="Arial" w:cs="David"/>
          <w:b/>
          <w:bCs/>
          <w:rtl/>
        </w:rPr>
        <w:t>ייזהר הקונה</w:t>
      </w:r>
      <w:r w:rsidRPr="002015B0">
        <w:rPr>
          <w:rFonts w:ascii="Arial" w:hAnsi="Arial" w:cs="David"/>
          <w:rtl/>
        </w:rPr>
        <w:t xml:space="preserve">- דוקטרינה משפטית </w:t>
      </w:r>
      <w:r w:rsidR="001E2CE2" w:rsidRPr="002015B0">
        <w:rPr>
          <w:rFonts w:ascii="Arial" w:hAnsi="Arial" w:cs="David" w:hint="cs"/>
          <w:rtl/>
        </w:rPr>
        <w:t>שהיית</w:t>
      </w:r>
      <w:r w:rsidR="001E2CE2" w:rsidRPr="002015B0">
        <w:rPr>
          <w:rFonts w:ascii="Arial" w:hAnsi="Arial" w:cs="David" w:hint="eastAsia"/>
          <w:rtl/>
        </w:rPr>
        <w:t>ה</w:t>
      </w:r>
      <w:r w:rsidRPr="002015B0">
        <w:rPr>
          <w:rFonts w:ascii="Arial" w:hAnsi="Arial" w:cs="David"/>
          <w:rtl/>
        </w:rPr>
        <w:t xml:space="preserve"> מקובלת במשפט המקובל האנגלי, לפיה בחוזה מכר על כל צד לדאוג לענייניו, ועל הקונה לבדוק את הממכר היטב, כאשר על המוכר לא חלה כל חובה לגלות לקונה על פגם כלשהו בממכר, גם אם ידע המוכר כי הקונה פועל מתוך טעות.</w:t>
      </w:r>
    </w:p>
    <w:p w:rsidR="009478B7" w:rsidRPr="002015B0" w:rsidRDefault="009478B7" w:rsidP="009478B7">
      <w:pPr>
        <w:pStyle w:val="NormalWeb"/>
        <w:bidi/>
        <w:spacing w:beforeAutospacing="0" w:after="0" w:afterAutospacing="0"/>
        <w:ind w:right="113"/>
        <w:jc w:val="both"/>
        <w:rPr>
          <w:rFonts w:ascii="Arial" w:hAnsi="Arial" w:cs="David"/>
          <w:rtl/>
        </w:rPr>
      </w:pPr>
      <w:r w:rsidRPr="002015B0">
        <w:rPr>
          <w:rFonts w:ascii="Arial" w:hAnsi="Arial" w:cs="David"/>
          <w:b/>
          <w:bCs/>
          <w:rtl/>
        </w:rPr>
        <w:t>כאב וסבל</w:t>
      </w:r>
      <w:r w:rsidRPr="002015B0">
        <w:rPr>
          <w:rFonts w:ascii="Arial" w:hAnsi="Arial" w:cs="David"/>
          <w:rtl/>
        </w:rPr>
        <w:t>- ראש נזק המתאר את עוגמת הנפש, הכאב והסבל שחווה הנפגע כתוצאה מהעוולה. סכום הפיצוי בגין ראש נזק זה משתנה ונקבע על-פי מספר פרמטרים, לרבות גילו של הנפגע, חומרת הפגיעה, שיעור אחוזי הנכות שנותרו לו עקב הפגיעה ועוד.</w:t>
      </w:r>
    </w:p>
    <w:p w:rsidR="00F07CF1" w:rsidRPr="002015B0" w:rsidRDefault="00F07CF1" w:rsidP="00F07CF1">
      <w:pPr>
        <w:pStyle w:val="NormalWeb"/>
        <w:bidi/>
        <w:spacing w:beforeAutospacing="0" w:after="0" w:afterAutospacing="0"/>
        <w:ind w:right="113"/>
        <w:jc w:val="both"/>
        <w:rPr>
          <w:rFonts w:ascii="Arial" w:hAnsi="Arial" w:cs="David"/>
          <w:rtl/>
        </w:rPr>
      </w:pPr>
      <w:r w:rsidRPr="002015B0">
        <w:rPr>
          <w:rFonts w:ascii="Arial" w:hAnsi="Arial" w:cs="David"/>
          <w:b/>
          <w:bCs/>
          <w:rtl/>
        </w:rPr>
        <w:t>כוונה</w:t>
      </w:r>
      <w:r w:rsidRPr="002015B0">
        <w:rPr>
          <w:rFonts w:ascii="Arial" w:hAnsi="Arial" w:cs="David"/>
          <w:rtl/>
        </w:rPr>
        <w:t>- ההתנהגות הזדונית מכולן. התנהגות שיש בה חפיצה בתוצאה.</w:t>
      </w:r>
    </w:p>
    <w:p w:rsidR="009478B7" w:rsidRPr="002015B0" w:rsidRDefault="009478B7" w:rsidP="009478B7">
      <w:pPr>
        <w:pStyle w:val="NormalWeb"/>
        <w:bidi/>
        <w:spacing w:beforeAutospacing="0" w:after="0" w:afterAutospacing="0"/>
        <w:ind w:right="113"/>
        <w:jc w:val="both"/>
        <w:rPr>
          <w:rFonts w:ascii="Arial" w:hAnsi="Arial" w:cs="David"/>
          <w:rtl/>
        </w:rPr>
      </w:pPr>
      <w:r w:rsidRPr="002015B0">
        <w:rPr>
          <w:rFonts w:ascii="Arial" w:hAnsi="Arial" w:cs="David"/>
          <w:b/>
          <w:bCs/>
          <w:rtl/>
        </w:rPr>
        <w:t>כללי הצדק הטבעי</w:t>
      </w:r>
      <w:r w:rsidRPr="002015B0">
        <w:rPr>
          <w:rFonts w:ascii="Arial" w:hAnsi="Arial" w:cs="David"/>
          <w:rtl/>
        </w:rPr>
        <w:t>- רשימה בלתי-סגורה של כללים אשר אינם מתעניינים בתוצאת ההליך המשפטי, אלא בהליך עצמו. על-פי כללי הצדק הטבעי, הליך שמפר את הכללים אינו הליך הוגן ו</w:t>
      </w:r>
      <w:r>
        <w:rPr>
          <w:rFonts w:ascii="Arial" w:hAnsi="Arial" w:cs="David"/>
          <w:rtl/>
        </w:rPr>
        <w:t>לא יוכל להגיע לחקר האמת, ולפיכך</w:t>
      </w:r>
      <w:r w:rsidRPr="002015B0">
        <w:rPr>
          <w:rFonts w:ascii="Arial" w:hAnsi="Arial" w:cs="David"/>
          <w:rtl/>
        </w:rPr>
        <w:t>- גם אם תוצאת ההליך חיובית וראויה על פי עקרונות מוסריים - הרי שההליך יהא פסול והתוצאה תהא בטלה מאליה.</w:t>
      </w:r>
    </w:p>
    <w:p w:rsidR="009478B7" w:rsidRPr="002015B0" w:rsidRDefault="009478B7" w:rsidP="009478B7">
      <w:pPr>
        <w:pStyle w:val="NormalWeb"/>
        <w:bidi/>
        <w:spacing w:beforeAutospacing="0" w:after="0" w:afterAutospacing="0"/>
        <w:ind w:right="113"/>
        <w:jc w:val="both"/>
        <w:rPr>
          <w:rFonts w:ascii="Arial" w:hAnsi="Arial" w:cs="David"/>
          <w:rtl/>
        </w:rPr>
      </w:pPr>
      <w:r w:rsidRPr="002015B0">
        <w:rPr>
          <w:rFonts w:ascii="Arial" w:hAnsi="Arial" w:cs="David"/>
          <w:b/>
          <w:bCs/>
          <w:rtl/>
        </w:rPr>
        <w:t>כריתת חוזה</w:t>
      </w:r>
      <w:r w:rsidRPr="002015B0">
        <w:rPr>
          <w:rFonts w:ascii="Arial" w:hAnsi="Arial" w:cs="David"/>
          <w:rtl/>
        </w:rPr>
        <w:t>- עריכת חוזה. עשיית חוזה.</w:t>
      </w:r>
    </w:p>
    <w:p w:rsidR="009478B7" w:rsidRPr="002015B0" w:rsidRDefault="009478B7" w:rsidP="009478B7">
      <w:pPr>
        <w:pStyle w:val="NormalWeb"/>
        <w:bidi/>
        <w:spacing w:beforeAutospacing="0" w:after="0" w:afterAutospacing="0"/>
        <w:ind w:right="113"/>
        <w:jc w:val="both"/>
        <w:rPr>
          <w:rFonts w:ascii="Arial" w:hAnsi="Arial" w:cs="David"/>
        </w:rPr>
      </w:pPr>
      <w:r w:rsidRPr="002015B0">
        <w:rPr>
          <w:rFonts w:ascii="Arial" w:hAnsi="Arial" w:cs="David"/>
          <w:b/>
          <w:bCs/>
          <w:rtl/>
        </w:rPr>
        <w:t>כשרות משפטית</w:t>
      </w:r>
      <w:r w:rsidRPr="002015B0">
        <w:rPr>
          <w:rFonts w:ascii="Arial" w:hAnsi="Arial" w:cs="David"/>
          <w:rtl/>
        </w:rPr>
        <w:t>- הסמכות שניתנת לאישיות המשפטית לפעול, להתחייב, לחתום על חוזים, להתקשר בעסקאות ולעשות פעולות שאדם טבעי יכול ורשאי לעשות.</w:t>
      </w:r>
    </w:p>
    <w:p w:rsidR="009478B7" w:rsidRPr="0045569A" w:rsidRDefault="009478B7" w:rsidP="009478B7">
      <w:pPr>
        <w:spacing w:before="100" w:after="0" w:line="240" w:lineRule="auto"/>
        <w:ind w:right="113"/>
        <w:jc w:val="both"/>
        <w:rPr>
          <w:rFonts w:ascii="Arial" w:eastAsia="Times New Roman" w:hAnsi="Arial" w:cs="David"/>
          <w:b/>
          <w:bCs/>
          <w:sz w:val="24"/>
          <w:szCs w:val="24"/>
          <w:rtl/>
        </w:rPr>
      </w:pPr>
      <w:r>
        <w:rPr>
          <w:rFonts w:ascii="Arial" w:eastAsia="Times New Roman" w:hAnsi="Arial" w:cs="David"/>
          <w:b/>
          <w:bCs/>
          <w:sz w:val="24"/>
          <w:szCs w:val="24"/>
          <w:rtl/>
        </w:rPr>
        <w:t>כשירות משפטית</w:t>
      </w:r>
      <w:r w:rsidRPr="0045569A">
        <w:rPr>
          <w:rFonts w:ascii="Arial" w:eastAsia="Times New Roman" w:hAnsi="Arial" w:cs="David"/>
          <w:sz w:val="24"/>
          <w:szCs w:val="24"/>
          <w:rtl/>
        </w:rPr>
        <w:t>- הנחה משפטית לפיה כל אדם כשיר לחובות ולזכויות משפטיות, אלא אם כן נשללה זכות זאת או הוגבלה על-פי החוק או על-פי קביעת בית המשפט (לדוגמא - קטין שטרם מלאו לו 12 שנים איננו כשיר לפי החוק לעמוד לדין פלילי).</w:t>
      </w:r>
    </w:p>
    <w:p w:rsidR="009478B7" w:rsidRPr="002015B0" w:rsidRDefault="009478B7" w:rsidP="009478B7">
      <w:pPr>
        <w:pStyle w:val="NormalWeb"/>
        <w:bidi/>
        <w:spacing w:beforeAutospacing="0" w:after="0" w:afterAutospacing="0"/>
        <w:ind w:right="113"/>
        <w:jc w:val="both"/>
        <w:rPr>
          <w:rFonts w:ascii="Arial" w:hAnsi="Arial" w:cs="David"/>
          <w:rtl/>
        </w:rPr>
      </w:pPr>
      <w:r>
        <w:rPr>
          <w:rFonts w:ascii="Arial" w:hAnsi="Arial" w:cs="David"/>
          <w:b/>
          <w:bCs/>
          <w:rtl/>
        </w:rPr>
        <w:t>כשרות משפטית כללית</w:t>
      </w:r>
      <w:r w:rsidRPr="002015B0">
        <w:rPr>
          <w:rFonts w:ascii="Arial" w:hAnsi="Arial" w:cs="David"/>
          <w:rtl/>
        </w:rPr>
        <w:t>- כשרות משפטית שלא הוגבלה בחוק או על-ידי בית המשפט.</w:t>
      </w:r>
    </w:p>
    <w:p w:rsidR="009478B7" w:rsidRPr="002015B0" w:rsidRDefault="009478B7" w:rsidP="009478B7">
      <w:pPr>
        <w:pStyle w:val="NormalWeb"/>
        <w:bidi/>
        <w:spacing w:beforeAutospacing="0" w:after="0" w:afterAutospacing="0"/>
        <w:ind w:right="113"/>
        <w:jc w:val="both"/>
        <w:rPr>
          <w:rFonts w:ascii="Arial" w:hAnsi="Arial" w:cs="David"/>
          <w:rtl/>
        </w:rPr>
      </w:pPr>
      <w:r w:rsidRPr="002015B0">
        <w:rPr>
          <w:rFonts w:ascii="Arial" w:hAnsi="Arial" w:cs="David"/>
          <w:b/>
          <w:bCs/>
          <w:rtl/>
        </w:rPr>
        <w:t>לאקונה</w:t>
      </w:r>
      <w:r w:rsidRPr="002015B0">
        <w:rPr>
          <w:rFonts w:ascii="Arial" w:hAnsi="Arial" w:cs="David"/>
          <w:rtl/>
        </w:rPr>
        <w:t xml:space="preserve">- חסר בדין. העדרה של הוראה בחקיקה או בפסיקה (תקדים) המתייחסת למקרה </w:t>
      </w:r>
      <w:r w:rsidR="001E2CE2" w:rsidRPr="002015B0">
        <w:rPr>
          <w:rFonts w:ascii="Arial" w:hAnsi="Arial" w:cs="David" w:hint="cs"/>
          <w:rtl/>
        </w:rPr>
        <w:t>מסוים</w:t>
      </w:r>
      <w:r w:rsidRPr="002015B0">
        <w:rPr>
          <w:rFonts w:ascii="Arial" w:hAnsi="Arial" w:cs="David"/>
          <w:rtl/>
        </w:rPr>
        <w:t>.</w:t>
      </w:r>
    </w:p>
    <w:p w:rsidR="00BC5969" w:rsidRPr="002015B0" w:rsidRDefault="00BC5969" w:rsidP="00BC5969">
      <w:pPr>
        <w:pStyle w:val="NormalWeb"/>
        <w:bidi/>
        <w:spacing w:beforeAutospacing="0" w:after="0" w:afterAutospacing="0"/>
        <w:ind w:right="113"/>
        <w:jc w:val="both"/>
        <w:rPr>
          <w:rFonts w:ascii="Arial" w:hAnsi="Arial" w:cs="David"/>
          <w:rtl/>
        </w:rPr>
      </w:pPr>
      <w:r w:rsidRPr="002015B0">
        <w:rPr>
          <w:rFonts w:ascii="Arial" w:hAnsi="Arial" w:cs="David"/>
          <w:b/>
          <w:bCs/>
          <w:rtl/>
        </w:rPr>
        <w:t>מבחן האדם הסביר/מבחן האדם מן הישוב</w:t>
      </w:r>
      <w:r w:rsidRPr="002015B0">
        <w:rPr>
          <w:rFonts w:ascii="Arial" w:hAnsi="Arial" w:cs="David"/>
          <w:rtl/>
        </w:rPr>
        <w:t xml:space="preserve">- מבחן המשמש את בתי המשפט לבדיקת משמעותה של התנהגות </w:t>
      </w:r>
      <w:r w:rsidR="001E2CE2" w:rsidRPr="002015B0">
        <w:rPr>
          <w:rFonts w:ascii="Arial" w:hAnsi="Arial" w:cs="David" w:hint="cs"/>
          <w:rtl/>
        </w:rPr>
        <w:t>מסוימת</w:t>
      </w:r>
      <w:r w:rsidRPr="002015B0">
        <w:rPr>
          <w:rFonts w:ascii="Arial" w:hAnsi="Arial" w:cs="David"/>
          <w:rtl/>
        </w:rPr>
        <w:t xml:space="preserve"> ואת עמידתה בסטנדרט משפטי רצוי. המבחן בודק כיצד אדם סביר דמיוני (שאיננו לפיכך צד להליך </w:t>
      </w:r>
      <w:r w:rsidRPr="002015B0">
        <w:rPr>
          <w:rFonts w:ascii="Arial" w:hAnsi="Arial" w:cs="David"/>
          <w:rtl/>
        </w:rPr>
        <w:lastRenderedPageBreak/>
        <w:t>המשפטי), אשר היה מביט על הסיטואציה המשפטית "מבחוץ", היה מתרשם על המתרחש באותה סיטואציה. מבחן זה ידוע גם כמבחן האובייקטיבי.</w:t>
      </w:r>
    </w:p>
    <w:p w:rsidR="00BC5969" w:rsidRPr="002015B0" w:rsidRDefault="00BC5969" w:rsidP="00BC5969">
      <w:pPr>
        <w:pStyle w:val="NormalWeb"/>
        <w:bidi/>
        <w:spacing w:beforeAutospacing="0" w:after="0" w:afterAutospacing="0"/>
        <w:ind w:right="113"/>
        <w:jc w:val="both"/>
        <w:rPr>
          <w:rFonts w:ascii="Arial" w:hAnsi="Arial" w:cs="David"/>
          <w:rtl/>
        </w:rPr>
      </w:pPr>
      <w:r w:rsidRPr="002015B0">
        <w:rPr>
          <w:rFonts w:ascii="Arial" w:hAnsi="Arial" w:cs="David"/>
          <w:b/>
          <w:bCs/>
          <w:rtl/>
        </w:rPr>
        <w:t>מודעות בכוח</w:t>
      </w:r>
      <w:r w:rsidRPr="002015B0">
        <w:rPr>
          <w:rFonts w:ascii="Arial" w:hAnsi="Arial" w:cs="David"/>
          <w:rtl/>
        </w:rPr>
        <w:t xml:space="preserve">- ההיפך ממודעות בפועל. מודעות שלא הייתה קיימת אצל הנאשם, אבל ראוי היה </w:t>
      </w:r>
      <w:r w:rsidR="001E2CE2" w:rsidRPr="002015B0">
        <w:rPr>
          <w:rFonts w:ascii="Arial" w:hAnsi="Arial" w:cs="David" w:hint="cs"/>
          <w:rtl/>
        </w:rPr>
        <w:t>שהיית</w:t>
      </w:r>
      <w:r w:rsidR="001E2CE2" w:rsidRPr="002015B0">
        <w:rPr>
          <w:rFonts w:ascii="Arial" w:hAnsi="Arial" w:cs="David" w:hint="eastAsia"/>
          <w:rtl/>
        </w:rPr>
        <w:t>ה</w:t>
      </w:r>
      <w:r w:rsidRPr="002015B0">
        <w:rPr>
          <w:rFonts w:ascii="Arial" w:hAnsi="Arial" w:cs="David"/>
          <w:rtl/>
        </w:rPr>
        <w:t xml:space="preserve"> קיימת אצלו (פוטנציאל מודעות שלא התממש).</w:t>
      </w:r>
    </w:p>
    <w:p w:rsidR="00BC5969" w:rsidRPr="002015B0" w:rsidRDefault="00BC5969" w:rsidP="00BC5969">
      <w:pPr>
        <w:pStyle w:val="NormalWeb"/>
        <w:bidi/>
        <w:spacing w:beforeAutospacing="0" w:after="0" w:afterAutospacing="0"/>
        <w:ind w:right="113"/>
        <w:jc w:val="both"/>
        <w:rPr>
          <w:rFonts w:ascii="Arial" w:hAnsi="Arial" w:cs="David"/>
          <w:rtl/>
        </w:rPr>
      </w:pPr>
      <w:r>
        <w:rPr>
          <w:rFonts w:ascii="Arial" w:hAnsi="Arial" w:cs="David"/>
          <w:b/>
          <w:bCs/>
          <w:rtl/>
        </w:rPr>
        <w:t>מודעות בפועל</w:t>
      </w:r>
      <w:r w:rsidRPr="002015B0">
        <w:rPr>
          <w:rFonts w:ascii="Arial" w:hAnsi="Arial" w:cs="David"/>
          <w:rtl/>
        </w:rPr>
        <w:t>- מודעות לטיב המעשה, לקיום הנסיבות או לאפשרות גרימת התוצאה (רכיבי היסוד העובדתי).</w:t>
      </w:r>
    </w:p>
    <w:p w:rsidR="00BC5969" w:rsidRPr="00BC5969" w:rsidRDefault="00BC5969" w:rsidP="00BC5969">
      <w:pPr>
        <w:spacing w:before="100" w:after="0" w:line="240" w:lineRule="auto"/>
        <w:ind w:right="113"/>
        <w:jc w:val="both"/>
        <w:rPr>
          <w:rFonts w:ascii="Arial" w:eastAsia="Times New Roman" w:hAnsi="Arial" w:cs="David"/>
          <w:color w:val="FFFFFF"/>
          <w:sz w:val="24"/>
          <w:szCs w:val="24"/>
          <w:rtl/>
        </w:rPr>
      </w:pPr>
      <w:r>
        <w:rPr>
          <w:rFonts w:ascii="Arial" w:eastAsia="Times New Roman" w:hAnsi="Arial" w:cs="David"/>
          <w:b/>
          <w:bCs/>
          <w:sz w:val="24"/>
          <w:szCs w:val="24"/>
          <w:rtl/>
        </w:rPr>
        <w:t>מחדל פלילי</w:t>
      </w:r>
      <w:r w:rsidRPr="0045569A">
        <w:rPr>
          <w:rFonts w:ascii="Arial" w:eastAsia="Times New Roman" w:hAnsi="Arial" w:cs="David"/>
          <w:sz w:val="24"/>
          <w:szCs w:val="24"/>
          <w:rtl/>
        </w:rPr>
        <w:t>- הימנעות מעשייה שהיא חובה לפי כל דין או חוזה.</w:t>
      </w:r>
    </w:p>
    <w:p w:rsidR="00BC5969" w:rsidRPr="002015B0" w:rsidRDefault="00BC5969" w:rsidP="00BC5969">
      <w:pPr>
        <w:pStyle w:val="NormalWeb"/>
        <w:bidi/>
        <w:spacing w:beforeAutospacing="0" w:after="0" w:afterAutospacing="0"/>
        <w:ind w:right="113"/>
        <w:jc w:val="both"/>
        <w:rPr>
          <w:rFonts w:ascii="Arial" w:hAnsi="Arial" w:cs="David"/>
          <w:rtl/>
        </w:rPr>
      </w:pPr>
      <w:r w:rsidRPr="002015B0">
        <w:rPr>
          <w:rFonts w:ascii="Arial" w:hAnsi="Arial" w:cs="David"/>
          <w:b/>
          <w:bCs/>
          <w:rtl/>
        </w:rPr>
        <w:t>מחשבה פלילית (זדון)</w:t>
      </w:r>
      <w:r w:rsidRPr="002015B0">
        <w:rPr>
          <w:rFonts w:ascii="Arial" w:hAnsi="Arial" w:cs="David"/>
          <w:rtl/>
        </w:rPr>
        <w:t xml:space="preserve">- מודעות לטיב המעשה האסור, לקיום הנסיבות ולאפשרות הגרימה לתוצאות המעשה. בנוסף, בעבירות תוצאתיות בלבד - גם רכיב חפצי </w:t>
      </w:r>
      <w:r w:rsidR="001E2CE2" w:rsidRPr="002015B0">
        <w:rPr>
          <w:rFonts w:ascii="Arial" w:hAnsi="Arial" w:cs="David" w:hint="cs"/>
          <w:rtl/>
        </w:rPr>
        <w:t>מסוים</w:t>
      </w:r>
      <w:r w:rsidRPr="002015B0">
        <w:rPr>
          <w:rFonts w:ascii="Arial" w:hAnsi="Arial" w:cs="David"/>
          <w:rtl/>
        </w:rPr>
        <w:t xml:space="preserve"> ביחס לתוצאה (כוונה או פזיזות). המחשבה הפלילית היא הרמה הגבוהה ביותר של היסוד הנפשי.</w:t>
      </w:r>
    </w:p>
    <w:p w:rsidR="001D32DF" w:rsidRPr="002015B0" w:rsidRDefault="001D32DF" w:rsidP="001D32DF">
      <w:pPr>
        <w:pStyle w:val="NormalWeb"/>
        <w:bidi/>
        <w:spacing w:beforeAutospacing="0" w:after="0" w:afterAutospacing="0"/>
        <w:ind w:right="113"/>
        <w:jc w:val="both"/>
        <w:rPr>
          <w:rFonts w:ascii="Arial" w:hAnsi="Arial" w:cs="David"/>
          <w:rtl/>
        </w:rPr>
      </w:pPr>
      <w:r w:rsidRPr="002015B0">
        <w:rPr>
          <w:rFonts w:ascii="Arial" w:hAnsi="Arial" w:cs="David"/>
          <w:b/>
          <w:bCs/>
          <w:rtl/>
        </w:rPr>
        <w:t>מימון דק</w:t>
      </w:r>
      <w:r w:rsidRPr="002015B0">
        <w:rPr>
          <w:rFonts w:ascii="Arial" w:hAnsi="Arial" w:cs="David"/>
          <w:rtl/>
        </w:rPr>
        <w:t>- מצב שבו ההון העצמי של החברה איננו עומד ביחס סביר לסיכונים שהיא נוטלת, או שאינו עומד ביחס סביר להלוואות שנטלה מצדדים שלישיים (מינוף גבוה).</w:t>
      </w:r>
    </w:p>
    <w:p w:rsidR="00BC5969" w:rsidRPr="002015B0" w:rsidRDefault="00BC5969" w:rsidP="00BC5969">
      <w:pPr>
        <w:pStyle w:val="NormalWeb"/>
        <w:bidi/>
        <w:spacing w:beforeAutospacing="0" w:after="0" w:afterAutospacing="0"/>
        <w:ind w:right="113"/>
        <w:jc w:val="both"/>
        <w:rPr>
          <w:rFonts w:ascii="Arial" w:hAnsi="Arial" w:cs="David"/>
          <w:rtl/>
        </w:rPr>
      </w:pPr>
      <w:r w:rsidRPr="002015B0">
        <w:rPr>
          <w:rFonts w:ascii="Arial" w:hAnsi="Arial" w:cs="David"/>
          <w:b/>
          <w:bCs/>
          <w:rtl/>
        </w:rPr>
        <w:t>מיצוי ההליכים</w:t>
      </w:r>
      <w:r w:rsidRPr="002015B0">
        <w:rPr>
          <w:rFonts w:ascii="Arial" w:hAnsi="Arial" w:cs="David"/>
          <w:rtl/>
        </w:rPr>
        <w:t xml:space="preserve">- עקרון במשפט המנהלי הקובע כי בטרם הפניה </w:t>
      </w:r>
      <w:r w:rsidR="001E2CE2" w:rsidRPr="002015B0">
        <w:rPr>
          <w:rFonts w:ascii="Arial" w:hAnsi="Arial" w:cs="David" w:hint="cs"/>
          <w:rtl/>
        </w:rPr>
        <w:t>לבג"ץ</w:t>
      </w:r>
      <w:r w:rsidRPr="002015B0">
        <w:rPr>
          <w:rFonts w:ascii="Arial" w:hAnsi="Arial" w:cs="David"/>
          <w:rtl/>
        </w:rPr>
        <w:t xml:space="preserve"> יש למצות את כל ההליכים האחרים בפני הרשות המנהלית, כלומר - פנייה בכתב לרשות והצגת הטענות בפניה ומתן הזדמנות לרשות לנמק את מעשיה או לתקנם. רק לאחר סירוב מצד הרשות או חוסר תגובה ניתן לפנות </w:t>
      </w:r>
      <w:r w:rsidR="001E2CE2" w:rsidRPr="002015B0">
        <w:rPr>
          <w:rFonts w:ascii="Arial" w:hAnsi="Arial" w:cs="David" w:hint="cs"/>
          <w:rtl/>
        </w:rPr>
        <w:t>לבג"ץ</w:t>
      </w:r>
      <w:r w:rsidRPr="002015B0">
        <w:rPr>
          <w:rFonts w:ascii="Arial" w:hAnsi="Arial" w:cs="David"/>
          <w:rtl/>
        </w:rPr>
        <w:t xml:space="preserve">. </w:t>
      </w:r>
    </w:p>
    <w:p w:rsidR="00BC5969" w:rsidRPr="002015B0" w:rsidRDefault="00BC5969" w:rsidP="00BC5969">
      <w:pPr>
        <w:pStyle w:val="NormalWeb"/>
        <w:bidi/>
        <w:spacing w:beforeAutospacing="0" w:after="0" w:afterAutospacing="0"/>
        <w:ind w:right="113"/>
        <w:jc w:val="both"/>
        <w:rPr>
          <w:rFonts w:ascii="Arial" w:hAnsi="Arial" w:cs="David"/>
          <w:rtl/>
        </w:rPr>
      </w:pPr>
      <w:r w:rsidRPr="002015B0">
        <w:rPr>
          <w:rFonts w:ascii="Arial" w:hAnsi="Arial" w:cs="David"/>
          <w:b/>
          <w:bCs/>
          <w:rtl/>
        </w:rPr>
        <w:t>מנהג משפטי</w:t>
      </w:r>
      <w:r w:rsidRPr="002015B0">
        <w:rPr>
          <w:rFonts w:ascii="Arial" w:hAnsi="Arial" w:cs="David"/>
          <w:rtl/>
        </w:rPr>
        <w:t xml:space="preserve">- התנהגות מחזורית בין אנשים שיוצרת הכרה או צפייה הדדית בקרב אותם אנשים שההתנהגות תחזור על עצמה. </w:t>
      </w:r>
    </w:p>
    <w:p w:rsidR="00BC5969" w:rsidRPr="002015B0" w:rsidRDefault="00BC5969" w:rsidP="00BC5969">
      <w:pPr>
        <w:pStyle w:val="NormalWeb"/>
        <w:bidi/>
        <w:spacing w:beforeAutospacing="0" w:after="0" w:afterAutospacing="0"/>
        <w:ind w:right="113"/>
        <w:jc w:val="both"/>
        <w:rPr>
          <w:rFonts w:ascii="Arial" w:hAnsi="Arial" w:cs="David"/>
          <w:rtl/>
        </w:rPr>
      </w:pPr>
      <w:r w:rsidRPr="002015B0">
        <w:rPr>
          <w:rFonts w:ascii="Arial" w:hAnsi="Arial" w:cs="David"/>
          <w:b/>
          <w:bCs/>
          <w:rtl/>
        </w:rPr>
        <w:t>מנהל כללי (מנכ"ל)</w:t>
      </w:r>
      <w:r w:rsidRPr="002015B0">
        <w:rPr>
          <w:rFonts w:ascii="Arial" w:hAnsi="Arial" w:cs="David"/>
          <w:rtl/>
        </w:rPr>
        <w:t>- האחראי על הניהול השוטף של עניני החברה במסגרת המדיניות שקבע הדירקטוריון ובכפוף להנחיותיו.</w:t>
      </w:r>
    </w:p>
    <w:p w:rsidR="00BC5969" w:rsidRPr="002015B0" w:rsidRDefault="00BC5969" w:rsidP="00BC5969">
      <w:pPr>
        <w:pStyle w:val="NormalWeb"/>
        <w:bidi/>
        <w:spacing w:beforeAutospacing="0" w:after="0" w:afterAutospacing="0"/>
        <w:ind w:right="113"/>
        <w:jc w:val="both"/>
        <w:rPr>
          <w:rFonts w:ascii="Arial" w:hAnsi="Arial" w:cs="David"/>
          <w:rtl/>
        </w:rPr>
      </w:pPr>
      <w:r w:rsidRPr="002015B0">
        <w:rPr>
          <w:rFonts w:ascii="Arial" w:hAnsi="Arial" w:cs="David"/>
          <w:b/>
          <w:bCs/>
          <w:rtl/>
        </w:rPr>
        <w:t>מניה</w:t>
      </w:r>
      <w:r w:rsidRPr="002015B0">
        <w:rPr>
          <w:rFonts w:ascii="Arial" w:hAnsi="Arial" w:cs="David"/>
          <w:rtl/>
        </w:rPr>
        <w:t>- חלק בהון החברה המקנה לבעליה זכויות חוזית בחברה, כאשר הזכויות קבועות בדין ובתקנון החברה.</w:t>
      </w:r>
    </w:p>
    <w:p w:rsidR="00BC5969" w:rsidRPr="0045569A" w:rsidRDefault="00BC5969" w:rsidP="00BC5969">
      <w:pPr>
        <w:spacing w:before="100" w:after="0" w:line="240" w:lineRule="auto"/>
        <w:ind w:right="113"/>
        <w:jc w:val="both"/>
        <w:rPr>
          <w:rFonts w:ascii="Arial" w:eastAsia="Times New Roman" w:hAnsi="Arial" w:cs="David"/>
          <w:sz w:val="24"/>
          <w:szCs w:val="24"/>
          <w:rtl/>
        </w:rPr>
      </w:pPr>
      <w:r>
        <w:rPr>
          <w:rFonts w:ascii="Arial" w:eastAsia="Times New Roman" w:hAnsi="Arial" w:cs="David"/>
          <w:b/>
          <w:bCs/>
          <w:sz w:val="24"/>
          <w:szCs w:val="24"/>
          <w:rtl/>
        </w:rPr>
        <w:t>מניעה</w:t>
      </w:r>
      <w:r w:rsidRPr="0045569A">
        <w:rPr>
          <w:rFonts w:ascii="Arial" w:eastAsia="Times New Roman" w:hAnsi="Arial" w:cs="David"/>
          <w:sz w:val="24"/>
          <w:szCs w:val="24"/>
          <w:rtl/>
        </w:rPr>
        <w:t>- אחת מצידוקי הענישה, ולפיו על-ידי הענישה נמנע את הישנות הפשע על-ידי אותו אדם.</w:t>
      </w:r>
    </w:p>
    <w:p w:rsidR="00BC5969" w:rsidRPr="002015B0" w:rsidRDefault="001E2CE2" w:rsidP="00BC5969">
      <w:pPr>
        <w:pStyle w:val="NormalWeb"/>
        <w:bidi/>
        <w:spacing w:beforeAutospacing="0" w:after="0" w:afterAutospacing="0"/>
        <w:ind w:right="113"/>
        <w:jc w:val="both"/>
        <w:rPr>
          <w:rFonts w:ascii="Arial" w:hAnsi="Arial" w:cs="David"/>
          <w:rtl/>
        </w:rPr>
      </w:pPr>
      <w:r w:rsidRPr="002015B0">
        <w:rPr>
          <w:rFonts w:ascii="Arial" w:hAnsi="Arial" w:cs="David" w:hint="cs"/>
          <w:b/>
          <w:bCs/>
          <w:rtl/>
        </w:rPr>
        <w:t>מסוימות</w:t>
      </w:r>
      <w:r w:rsidR="00BC5969" w:rsidRPr="002015B0">
        <w:rPr>
          <w:rFonts w:ascii="Arial" w:hAnsi="Arial" w:cs="David"/>
          <w:rtl/>
        </w:rPr>
        <w:t>- הסכמת הצדדים לחוזה על הפרטים המהותיים-החיוניים של העסקה, אך לאו דווקא על מלוא פרטיה. כלומר, האם היה סיכום ספציפי בין הצדדים המלמד על מהותו של החוזה.</w:t>
      </w:r>
    </w:p>
    <w:p w:rsidR="00BC5969" w:rsidRPr="002015B0" w:rsidRDefault="00BC5969" w:rsidP="00BC5969">
      <w:pPr>
        <w:pStyle w:val="NormalWeb"/>
        <w:bidi/>
        <w:spacing w:beforeAutospacing="0" w:after="0" w:afterAutospacing="0"/>
        <w:ind w:right="113"/>
        <w:jc w:val="both"/>
        <w:rPr>
          <w:rFonts w:ascii="Arial" w:hAnsi="Arial" w:cs="David"/>
          <w:rtl/>
        </w:rPr>
      </w:pPr>
      <w:r>
        <w:rPr>
          <w:rFonts w:ascii="Arial" w:hAnsi="Arial" w:cs="David"/>
          <w:b/>
          <w:bCs/>
          <w:rtl/>
        </w:rPr>
        <w:t>מענק/קצבת נכות מעבודה</w:t>
      </w:r>
      <w:r w:rsidRPr="002015B0">
        <w:rPr>
          <w:rFonts w:ascii="Arial" w:hAnsi="Arial" w:cs="David"/>
          <w:rtl/>
        </w:rPr>
        <w:t>- מענק חד-פעמי או קצבה חודשית שהמוסד לביטוח לאומי משלם לאדם שעקב פגיעה בעבודה נפגע כושרו לעבוד, והוא אינו מסוגל לעשות עבודה שבן גילו ומינו מסוגל לעשותה. הברירה בין קבלת מענק נכות לבין קבלת קצבת נכות נקבעת בהתאם לגובה נכותו הרפואית של הנפגע.</w:t>
      </w:r>
    </w:p>
    <w:p w:rsidR="00BC5969" w:rsidRPr="002015B0" w:rsidRDefault="00BC5969" w:rsidP="00BC5969">
      <w:pPr>
        <w:pStyle w:val="NormalWeb"/>
        <w:bidi/>
        <w:spacing w:beforeAutospacing="0" w:after="0" w:afterAutospacing="0"/>
        <w:ind w:right="113"/>
        <w:jc w:val="both"/>
        <w:rPr>
          <w:rFonts w:ascii="Arial" w:hAnsi="Arial" w:cs="David"/>
          <w:rtl/>
        </w:rPr>
      </w:pPr>
      <w:r w:rsidRPr="002015B0">
        <w:rPr>
          <w:rFonts w:ascii="Arial" w:hAnsi="Arial" w:cs="David"/>
          <w:b/>
          <w:bCs/>
          <w:rtl/>
        </w:rPr>
        <w:t>מעשה בית-דין</w:t>
      </w:r>
      <w:r w:rsidRPr="002015B0">
        <w:rPr>
          <w:rFonts w:ascii="Arial" w:hAnsi="Arial" w:cs="David"/>
          <w:rtl/>
        </w:rPr>
        <w:t xml:space="preserve">- עקרון משפטי הקובע כי מקום שתביעה נדונה לגופה והוכרעה על ידי בית משפט מוסמך, שוב אסור להיזקק לתביעה נוספת בין אותם צדדים המבוססת על עילה זהה. </w:t>
      </w:r>
    </w:p>
    <w:p w:rsidR="00DF51E7" w:rsidRPr="002015B0" w:rsidRDefault="00DF51E7" w:rsidP="00DF51E7">
      <w:pPr>
        <w:pStyle w:val="NormalWeb"/>
        <w:bidi/>
        <w:spacing w:beforeAutospacing="0" w:after="0" w:afterAutospacing="0"/>
        <w:ind w:right="113"/>
        <w:jc w:val="both"/>
        <w:rPr>
          <w:rFonts w:ascii="Arial" w:hAnsi="Arial" w:cs="David"/>
          <w:rtl/>
        </w:rPr>
      </w:pPr>
      <w:r w:rsidRPr="002015B0">
        <w:rPr>
          <w:rFonts w:ascii="Arial" w:hAnsi="Arial" w:cs="David"/>
          <w:b/>
          <w:bCs/>
          <w:rtl/>
        </w:rPr>
        <w:t>מִשְׁפָּט</w:t>
      </w:r>
      <w:r w:rsidRPr="002015B0">
        <w:rPr>
          <w:rFonts w:ascii="Arial" w:hAnsi="Arial" w:cs="David"/>
          <w:rtl/>
        </w:rPr>
        <w:t>- 1.  בֵּירוּר טעָנות של יריבים לשֵם הוצאת פּסַק דין; 2.  עִניָין שנָדון על-ידי שופט או שופטים;  3.  פּסַק דין;  4.  דין צדק, ללא עיווּת ועָוֶול;  5.  רשוּת חוּקית;  6.  חוק, מִצווה, בּעיקר בין אדם לַחבֵרו;  7.  מִנהָג, הִתנַהגוּת; (ההגדרה מתוך מילון ספיר).</w:t>
      </w:r>
    </w:p>
    <w:p w:rsidR="00DF51E7" w:rsidRPr="002015B0" w:rsidRDefault="00DF51E7" w:rsidP="00DF51E7">
      <w:pPr>
        <w:pStyle w:val="NormalWeb"/>
        <w:bidi/>
        <w:spacing w:beforeAutospacing="0" w:after="0" w:afterAutospacing="0"/>
        <w:ind w:right="113"/>
        <w:jc w:val="both"/>
        <w:rPr>
          <w:rFonts w:ascii="Arial" w:hAnsi="Arial" w:cs="David"/>
          <w:rtl/>
        </w:rPr>
      </w:pPr>
      <w:r w:rsidRPr="002015B0">
        <w:rPr>
          <w:rFonts w:ascii="Arial" w:hAnsi="Arial" w:cs="David"/>
          <w:b/>
          <w:bCs/>
          <w:rtl/>
        </w:rPr>
        <w:t>משפט הטבע</w:t>
      </w:r>
      <w:r w:rsidRPr="002015B0">
        <w:rPr>
          <w:rFonts w:ascii="Arial" w:hAnsi="Arial" w:cs="David"/>
          <w:rtl/>
        </w:rPr>
        <w:t xml:space="preserve">- אסכולה משפטית הקיימת לאורך כל ההיסטוריה האנושית, אשר בבסיסה עומדת הטענה כי נורמה שקובעים בני אדם בחברה מסוימת יכולה להיות חוק בעל תוקף משפטי רק אם אינה מנוגדת לעקרונות המוסר האובייקטיבים של המשפט הטבעי. </w:t>
      </w:r>
    </w:p>
    <w:p w:rsidR="00BC5969" w:rsidRPr="002015B0" w:rsidRDefault="00BC5969" w:rsidP="00BC5969">
      <w:pPr>
        <w:pStyle w:val="NormalWeb"/>
        <w:bidi/>
        <w:spacing w:beforeAutospacing="0" w:after="0" w:afterAutospacing="0"/>
        <w:ind w:right="113"/>
        <w:jc w:val="both"/>
        <w:rPr>
          <w:rFonts w:ascii="Arial" w:hAnsi="Arial" w:cs="David"/>
          <w:rtl/>
        </w:rPr>
      </w:pPr>
      <w:r w:rsidRPr="002015B0">
        <w:rPr>
          <w:rFonts w:ascii="Arial" w:hAnsi="Arial" w:cs="David"/>
          <w:b/>
          <w:bCs/>
          <w:rtl/>
        </w:rPr>
        <w:t>משפט חוזר</w:t>
      </w:r>
      <w:r w:rsidRPr="002015B0">
        <w:rPr>
          <w:rFonts w:ascii="Arial" w:hAnsi="Arial" w:cs="David"/>
          <w:rtl/>
        </w:rPr>
        <w:t>- עקרון המשפטי הקבוע בסעיף 31 לחוק בתי המשפט, המאפשר לאדם שהורשע במשפט פלילי לבקש משפט חוזר בעניינו וזאת בשל אחת מהעילות שקבועות בחוק.</w:t>
      </w:r>
    </w:p>
    <w:p w:rsidR="00DF51E7" w:rsidRPr="002015B0" w:rsidRDefault="00DF51E7" w:rsidP="00DF51E7">
      <w:pPr>
        <w:pStyle w:val="NormalWeb"/>
        <w:bidi/>
        <w:spacing w:beforeAutospacing="0" w:after="0" w:afterAutospacing="0"/>
        <w:ind w:right="113"/>
        <w:jc w:val="both"/>
        <w:rPr>
          <w:rFonts w:ascii="Arial" w:hAnsi="Arial" w:cs="David"/>
          <w:rtl/>
        </w:rPr>
      </w:pPr>
      <w:r w:rsidRPr="002015B0">
        <w:rPr>
          <w:rFonts w:ascii="Arial" w:hAnsi="Arial" w:cs="David"/>
          <w:b/>
          <w:bCs/>
          <w:rtl/>
        </w:rPr>
        <w:t>משפט פרטי</w:t>
      </w:r>
      <w:r w:rsidRPr="002015B0">
        <w:rPr>
          <w:rFonts w:ascii="Arial" w:hAnsi="Arial" w:cs="David"/>
          <w:rtl/>
        </w:rPr>
        <w:t>- תחום משפטי שעוסק בכללים המשפטיים שחלים על האזרחים במדינה ("פרטים") ועל היחסים שבין האזרחים.</w:t>
      </w:r>
      <w:r w:rsidR="00BC5969">
        <w:rPr>
          <w:rFonts w:ascii="Arial" w:hAnsi="Arial" w:cs="David" w:hint="cs"/>
          <w:rtl/>
        </w:rPr>
        <w:t xml:space="preserve"> ענף משפט אשר מסדיר את מערכת היחסים שבין הפרטים (אנשים ותאגידים) בתוך המדינה.</w:t>
      </w:r>
    </w:p>
    <w:p w:rsidR="00DF51E7" w:rsidRPr="002015B0" w:rsidRDefault="00DF51E7" w:rsidP="00DF51E7">
      <w:pPr>
        <w:pStyle w:val="NormalWeb"/>
        <w:bidi/>
        <w:spacing w:beforeAutospacing="0" w:after="0" w:afterAutospacing="0"/>
        <w:ind w:right="113"/>
        <w:jc w:val="both"/>
        <w:rPr>
          <w:rFonts w:ascii="Arial" w:hAnsi="Arial" w:cs="David"/>
          <w:rtl/>
        </w:rPr>
      </w:pPr>
      <w:r w:rsidRPr="002015B0">
        <w:rPr>
          <w:rFonts w:ascii="Arial" w:hAnsi="Arial" w:cs="David"/>
          <w:b/>
          <w:bCs/>
          <w:rtl/>
        </w:rPr>
        <w:t>משפט ציבורי</w:t>
      </w:r>
      <w:r w:rsidRPr="002015B0">
        <w:rPr>
          <w:rFonts w:ascii="Arial" w:hAnsi="Arial" w:cs="David"/>
          <w:rtl/>
        </w:rPr>
        <w:t>- תחום משפטי שעוסק בכללים המשפטיים שחלים על השלטון ועל היחסים שבין רשויות השלטון (בינן לבין עצמן) ובינן לבין האזרח במדינה. מקובל לחלק את המשפט הציבורי למשפט חוקתי ומשפט מנהלי.</w:t>
      </w:r>
    </w:p>
    <w:p w:rsidR="00BC5969" w:rsidRDefault="00BC5969" w:rsidP="00BC5969">
      <w:pPr>
        <w:pStyle w:val="NormalWeb"/>
        <w:bidi/>
        <w:spacing w:beforeAutospacing="0" w:after="0" w:afterAutospacing="0"/>
        <w:ind w:right="113"/>
        <w:jc w:val="both"/>
        <w:rPr>
          <w:rFonts w:ascii="Arial" w:hAnsi="Arial" w:cs="David"/>
          <w:rtl/>
        </w:rPr>
      </w:pPr>
      <w:r w:rsidRPr="002015B0">
        <w:rPr>
          <w:rFonts w:ascii="Arial" w:hAnsi="Arial" w:cs="David"/>
          <w:b/>
          <w:bCs/>
          <w:rtl/>
        </w:rPr>
        <w:t>מתן כלים להסדרים בין פרטים</w:t>
      </w:r>
      <w:r w:rsidRPr="002015B0">
        <w:rPr>
          <w:rFonts w:ascii="Arial" w:hAnsi="Arial" w:cs="David"/>
          <w:rtl/>
        </w:rPr>
        <w:t>- אחת ממטרותיו העיקריות של המשפט. לצד הכוונת ההתנהגות, מטרת החוק היא גם לספק לאזרחים כלים כדי להגשים את רצונם, כגון: דיני החוזים, חוקי הגנת הדייר, חוק הירושה, חוק העמותות ועוד.</w:t>
      </w:r>
    </w:p>
    <w:p w:rsidR="00BC5969" w:rsidRPr="002015B0" w:rsidRDefault="00BC5969" w:rsidP="00BC5969">
      <w:pPr>
        <w:pStyle w:val="NormalWeb"/>
        <w:bidi/>
        <w:spacing w:beforeAutospacing="0" w:after="0" w:afterAutospacing="0"/>
        <w:ind w:right="113"/>
        <w:jc w:val="both"/>
        <w:rPr>
          <w:rFonts w:ascii="Arial" w:hAnsi="Arial" w:cs="David"/>
          <w:rtl/>
        </w:rPr>
      </w:pPr>
      <w:r w:rsidRPr="002015B0">
        <w:rPr>
          <w:rFonts w:ascii="Arial" w:hAnsi="Arial" w:cs="David"/>
          <w:b/>
          <w:bCs/>
          <w:rtl/>
        </w:rPr>
        <w:t>נזק</w:t>
      </w:r>
      <w:r w:rsidRPr="002015B0">
        <w:rPr>
          <w:rFonts w:ascii="Arial" w:hAnsi="Arial" w:cs="David"/>
          <w:rtl/>
        </w:rPr>
        <w:t xml:space="preserve">- אבדן חיים, אבדן נכס, נוחות, רווחה גופנית או שם-טוב, או חיסור מהם, וכל אבדן או חיסור כיוצאים באלה הנובעים מהתנהגותו של המזיק כלפי הניזוק. על התובע מוטלת החובה להוכיח את גובה נזקיו. </w:t>
      </w:r>
    </w:p>
    <w:p w:rsidR="00BC5969" w:rsidRPr="00BC5969" w:rsidRDefault="00BC5969" w:rsidP="00BC5969">
      <w:pPr>
        <w:pStyle w:val="NormalWeb"/>
        <w:bidi/>
        <w:spacing w:beforeAutospacing="0" w:after="0" w:afterAutospacing="0"/>
        <w:ind w:right="113"/>
        <w:jc w:val="both"/>
        <w:rPr>
          <w:rFonts w:ascii="Arial" w:hAnsi="Arial" w:cs="David" w:hint="cs"/>
          <w:rtl/>
        </w:rPr>
      </w:pPr>
      <w:r w:rsidRPr="002015B0">
        <w:rPr>
          <w:rFonts w:ascii="Arial" w:hAnsi="Arial" w:cs="David"/>
          <w:b/>
          <w:bCs/>
          <w:rtl/>
        </w:rPr>
        <w:t>ניקיון ידיים</w:t>
      </w:r>
      <w:r w:rsidRPr="002015B0">
        <w:rPr>
          <w:rFonts w:ascii="Arial" w:hAnsi="Arial" w:cs="David"/>
          <w:rtl/>
        </w:rPr>
        <w:t>- עקרון תום הלב בהליכים בפני בג"צ.</w:t>
      </w:r>
    </w:p>
    <w:p w:rsidR="00BC5969" w:rsidRPr="002015B0" w:rsidRDefault="00BC5969" w:rsidP="00BC5969">
      <w:pPr>
        <w:pStyle w:val="NormalWeb"/>
        <w:bidi/>
        <w:spacing w:beforeAutospacing="0" w:after="0" w:afterAutospacing="0"/>
        <w:ind w:right="113"/>
        <w:jc w:val="both"/>
        <w:rPr>
          <w:rFonts w:ascii="Arial" w:hAnsi="Arial" w:cs="David"/>
          <w:rtl/>
        </w:rPr>
      </w:pPr>
      <w:r w:rsidRPr="002015B0">
        <w:rPr>
          <w:rFonts w:ascii="Arial" w:hAnsi="Arial" w:cs="David"/>
          <w:b/>
          <w:bCs/>
          <w:rtl/>
        </w:rPr>
        <w:t>נכות רפואית</w:t>
      </w:r>
      <w:r w:rsidRPr="002015B0">
        <w:rPr>
          <w:rFonts w:ascii="Arial" w:hAnsi="Arial" w:cs="David"/>
          <w:rtl/>
        </w:rPr>
        <w:t xml:space="preserve">- מדד מספרי (באחוזים) המתאר את פגיעתו הרפואית של התובע-הניזוק. </w:t>
      </w:r>
    </w:p>
    <w:p w:rsidR="00BC5969" w:rsidRPr="00BC5969" w:rsidRDefault="00BC5969" w:rsidP="00BC5969">
      <w:pPr>
        <w:spacing w:before="100" w:after="0" w:line="240" w:lineRule="auto"/>
        <w:ind w:right="113"/>
        <w:jc w:val="both"/>
        <w:rPr>
          <w:rFonts w:ascii="Arial" w:eastAsia="Times New Roman" w:hAnsi="Arial" w:cs="David" w:hint="cs"/>
          <w:sz w:val="24"/>
          <w:szCs w:val="24"/>
          <w:rtl/>
        </w:rPr>
      </w:pPr>
      <w:r>
        <w:rPr>
          <w:rFonts w:ascii="Arial" w:eastAsia="Times New Roman" w:hAnsi="Arial" w:cs="David"/>
          <w:b/>
          <w:bCs/>
          <w:sz w:val="24"/>
          <w:szCs w:val="24"/>
          <w:rtl/>
        </w:rPr>
        <w:t>נקמה</w:t>
      </w:r>
      <w:r w:rsidRPr="0045569A">
        <w:rPr>
          <w:rFonts w:ascii="Arial" w:eastAsia="Times New Roman" w:hAnsi="Arial" w:cs="David"/>
          <w:sz w:val="24"/>
          <w:szCs w:val="24"/>
          <w:rtl/>
        </w:rPr>
        <w:t>- אחת מצידוקי הענישה, ולפיו בעצם הענישה "דם ייגאל בדם" (עין תחת עין).</w:t>
      </w:r>
    </w:p>
    <w:p w:rsidR="00BC5969" w:rsidRPr="0045569A" w:rsidRDefault="00BC5969" w:rsidP="00BC5969">
      <w:pPr>
        <w:spacing w:before="100" w:after="0" w:line="240" w:lineRule="auto"/>
        <w:ind w:right="113"/>
        <w:jc w:val="both"/>
        <w:rPr>
          <w:rFonts w:ascii="Arial" w:eastAsia="Times New Roman" w:hAnsi="Arial" w:cs="David"/>
          <w:sz w:val="24"/>
          <w:szCs w:val="24"/>
          <w:rtl/>
        </w:rPr>
      </w:pPr>
      <w:r>
        <w:rPr>
          <w:rFonts w:ascii="Arial" w:eastAsia="Times New Roman" w:hAnsi="Arial" w:cs="David"/>
          <w:b/>
          <w:bCs/>
          <w:sz w:val="24"/>
          <w:szCs w:val="24"/>
          <w:rtl/>
        </w:rPr>
        <w:t>נקמה, מניעה, הרתעה ושיקום</w:t>
      </w:r>
      <w:r w:rsidRPr="0045569A">
        <w:rPr>
          <w:rFonts w:ascii="Arial" w:eastAsia="Times New Roman" w:hAnsi="Arial" w:cs="David"/>
          <w:sz w:val="24"/>
          <w:szCs w:val="24"/>
          <w:rtl/>
        </w:rPr>
        <w:t>- צידוקים שונים לענישת הנאשם.</w:t>
      </w:r>
    </w:p>
    <w:p w:rsidR="009154A5" w:rsidRPr="002015B0" w:rsidRDefault="009154A5" w:rsidP="009154A5">
      <w:pPr>
        <w:pStyle w:val="NormalWeb"/>
        <w:bidi/>
        <w:spacing w:beforeAutospacing="0" w:after="0" w:afterAutospacing="0"/>
        <w:ind w:right="113"/>
        <w:jc w:val="both"/>
        <w:rPr>
          <w:rFonts w:ascii="Arial" w:hAnsi="Arial" w:cs="David"/>
          <w:rtl/>
        </w:rPr>
      </w:pPr>
      <w:r w:rsidRPr="002015B0">
        <w:rPr>
          <w:rFonts w:ascii="Arial" w:hAnsi="Arial" w:cs="David"/>
          <w:b/>
          <w:bCs/>
          <w:rtl/>
        </w:rPr>
        <w:t>סמכות ייחודית</w:t>
      </w:r>
      <w:r w:rsidRPr="002015B0">
        <w:rPr>
          <w:rFonts w:ascii="Arial" w:hAnsi="Arial" w:cs="David"/>
          <w:rtl/>
        </w:rPr>
        <w:t>- סמכות שיפוט הנתונה באופן בלעדי לאחת מהערכאות בלבד (למשל, ענייני גירושין של יהודים בישראל נתונים לסמכותו הייחודית של בית הדין הרבני).</w:t>
      </w:r>
    </w:p>
    <w:p w:rsidR="009154A5" w:rsidRPr="002015B0" w:rsidRDefault="009154A5" w:rsidP="009154A5">
      <w:pPr>
        <w:pStyle w:val="NormalWeb"/>
        <w:bidi/>
        <w:spacing w:beforeAutospacing="0" w:after="0" w:afterAutospacing="0"/>
        <w:ind w:right="113"/>
        <w:jc w:val="both"/>
        <w:rPr>
          <w:rFonts w:ascii="Arial" w:hAnsi="Arial" w:cs="David"/>
          <w:rtl/>
        </w:rPr>
      </w:pPr>
      <w:r w:rsidRPr="002015B0">
        <w:rPr>
          <w:rFonts w:ascii="Arial" w:hAnsi="Arial" w:cs="David"/>
          <w:b/>
          <w:bCs/>
          <w:rtl/>
        </w:rPr>
        <w:lastRenderedPageBreak/>
        <w:t>סמכות מקומית</w:t>
      </w:r>
      <w:r w:rsidRPr="002015B0">
        <w:rPr>
          <w:rFonts w:ascii="Arial" w:hAnsi="Arial" w:cs="David"/>
          <w:rtl/>
        </w:rPr>
        <w:t>- סמכות של בית משפט לדון בעניין המובא לפניו לאור קריטריונים גיאוגרפיים הקבועים בחוק (כגון: מקום מגוריו של הנתבע, מקום עריכת החוזה, מקום ביצוע העבירה ועוד).</w:t>
      </w:r>
    </w:p>
    <w:p w:rsidR="00BC5969" w:rsidRPr="009154A5" w:rsidRDefault="009154A5" w:rsidP="009154A5">
      <w:pPr>
        <w:pStyle w:val="NormalWeb"/>
        <w:bidi/>
        <w:spacing w:beforeAutospacing="0" w:after="0" w:afterAutospacing="0"/>
        <w:ind w:right="113"/>
        <w:jc w:val="both"/>
        <w:rPr>
          <w:rFonts w:ascii="Arial" w:hAnsi="Arial" w:cs="David"/>
          <w:rtl/>
        </w:rPr>
      </w:pPr>
      <w:r w:rsidRPr="002015B0">
        <w:rPr>
          <w:rFonts w:ascii="Arial" w:hAnsi="Arial" w:cs="David"/>
          <w:b/>
          <w:bCs/>
          <w:rtl/>
        </w:rPr>
        <w:t>סמכות מקבילה</w:t>
      </w:r>
      <w:r w:rsidRPr="002015B0">
        <w:rPr>
          <w:rFonts w:ascii="Arial" w:hAnsi="Arial" w:cs="David"/>
          <w:rtl/>
        </w:rPr>
        <w:t>- סמכות של שתי ערכאות שיפוטיות לדון באותו עניין [כגון: סמכות בית המשפט לענייני משפחה ובית הדין הרבני לדון בנושאים הנלווים לגירושין של יהודים במדינת ישראל (מזונות, חלוקת רכוש, אחזקת ילדים וכו')].</w:t>
      </w:r>
    </w:p>
    <w:p w:rsidR="009154A5" w:rsidRPr="002015B0" w:rsidRDefault="009154A5" w:rsidP="009154A5">
      <w:pPr>
        <w:pStyle w:val="NormalWeb"/>
        <w:bidi/>
        <w:spacing w:beforeAutospacing="0" w:after="0" w:afterAutospacing="0"/>
        <w:ind w:right="113"/>
        <w:jc w:val="both"/>
        <w:rPr>
          <w:rFonts w:ascii="Arial" w:hAnsi="Arial" w:cs="David"/>
        </w:rPr>
      </w:pPr>
      <w:r w:rsidRPr="002015B0">
        <w:rPr>
          <w:rFonts w:ascii="Arial" w:hAnsi="Arial" w:cs="David"/>
          <w:b/>
          <w:bCs/>
          <w:rtl/>
        </w:rPr>
        <w:t>סמכות עניינית</w:t>
      </w:r>
      <w:r w:rsidRPr="002015B0">
        <w:rPr>
          <w:rFonts w:ascii="Arial" w:hAnsi="Arial" w:cs="David"/>
          <w:rtl/>
        </w:rPr>
        <w:t xml:space="preserve">- סמכות של בית משפט לדון בעניין המובא לפניו מבחינת סוגו, מהותו או ערכו הכספי של העניין, בהתאם לקריטריונים הקבועים </w:t>
      </w:r>
      <w:bookmarkStart w:id="0" w:name="_GoBack"/>
      <w:bookmarkEnd w:id="0"/>
      <w:r w:rsidRPr="002015B0">
        <w:rPr>
          <w:rFonts w:ascii="Arial" w:hAnsi="Arial" w:cs="David"/>
          <w:rtl/>
        </w:rPr>
        <w:t>בחוק.</w:t>
      </w:r>
    </w:p>
    <w:p w:rsidR="009154A5" w:rsidRPr="002015B0" w:rsidRDefault="009154A5" w:rsidP="009154A5">
      <w:pPr>
        <w:pStyle w:val="NormalWeb"/>
        <w:bidi/>
        <w:spacing w:beforeAutospacing="0" w:after="0" w:afterAutospacing="0"/>
        <w:ind w:right="113"/>
        <w:jc w:val="both"/>
        <w:rPr>
          <w:rFonts w:ascii="Arial" w:hAnsi="Arial" w:cs="David"/>
          <w:rtl/>
        </w:rPr>
      </w:pPr>
      <w:r w:rsidRPr="002015B0">
        <w:rPr>
          <w:rFonts w:ascii="Arial" w:hAnsi="Arial" w:cs="David"/>
          <w:b/>
          <w:bCs/>
          <w:rtl/>
        </w:rPr>
        <w:t>סמכות שיורית</w:t>
      </w:r>
      <w:r w:rsidRPr="002015B0">
        <w:rPr>
          <w:rFonts w:ascii="Arial" w:hAnsi="Arial" w:cs="David"/>
          <w:rtl/>
        </w:rPr>
        <w:t>- סמכותו של בית המשפט המחוזי לדון בכל עניין שאינו בסמכותו הייחודית של בית דין אחר, וכן בכל עניין המצוי בסמכותו המקבילה של בית דין אחר, כל עוד אותו בית דין אינו דן בו, ואם הוא אינו בסמכות בית משפט השלום. הסמכות נובעת מחוק בתי המשפט (נוסח משולב) התשמ"ד- 1984.</w:t>
      </w:r>
    </w:p>
    <w:p w:rsidR="00F07CF1" w:rsidRPr="0045569A" w:rsidRDefault="00F07CF1" w:rsidP="00F07CF1">
      <w:pPr>
        <w:spacing w:before="100" w:after="0" w:line="240" w:lineRule="auto"/>
        <w:ind w:right="113"/>
        <w:jc w:val="both"/>
        <w:rPr>
          <w:rFonts w:ascii="Arial" w:eastAsia="Times New Roman" w:hAnsi="Arial" w:cs="David"/>
          <w:sz w:val="24"/>
          <w:szCs w:val="24"/>
          <w:rtl/>
        </w:rPr>
      </w:pPr>
      <w:r>
        <w:rPr>
          <w:rFonts w:ascii="Arial" w:eastAsia="Times New Roman" w:hAnsi="Arial" w:cs="David"/>
          <w:b/>
          <w:bCs/>
          <w:sz w:val="24"/>
          <w:szCs w:val="24"/>
          <w:rtl/>
        </w:rPr>
        <w:t>עבירה</w:t>
      </w:r>
      <w:r w:rsidRPr="0045569A">
        <w:rPr>
          <w:rFonts w:ascii="Arial" w:eastAsia="Times New Roman" w:hAnsi="Arial" w:cs="David"/>
          <w:sz w:val="24"/>
          <w:szCs w:val="24"/>
          <w:rtl/>
        </w:rPr>
        <w:t>- מעשה הפוגע בזכותו של אדם אחר לחיים, לגוף, או לרכוש.</w:t>
      </w:r>
    </w:p>
    <w:p w:rsidR="00F07CF1" w:rsidRPr="0045569A" w:rsidRDefault="00F07CF1" w:rsidP="00F07CF1">
      <w:pPr>
        <w:spacing w:before="100" w:after="0" w:line="240" w:lineRule="auto"/>
        <w:ind w:right="113"/>
        <w:jc w:val="both"/>
        <w:rPr>
          <w:rFonts w:ascii="Arial" w:eastAsia="Times New Roman" w:hAnsi="Arial" w:cs="David"/>
          <w:sz w:val="24"/>
          <w:szCs w:val="24"/>
          <w:rtl/>
        </w:rPr>
      </w:pPr>
      <w:r w:rsidRPr="0045569A">
        <w:rPr>
          <w:rFonts w:ascii="Arial" w:eastAsia="Times New Roman" w:hAnsi="Arial" w:cs="David"/>
          <w:b/>
          <w:bCs/>
          <w:sz w:val="24"/>
          <w:szCs w:val="24"/>
          <w:rtl/>
        </w:rPr>
        <w:t>עבירה מסוג "חטא"</w:t>
      </w:r>
      <w:r w:rsidRPr="0045569A">
        <w:rPr>
          <w:rFonts w:ascii="Arial" w:eastAsia="Times New Roman" w:hAnsi="Arial" w:cs="David"/>
          <w:sz w:val="24"/>
          <w:szCs w:val="24"/>
          <w:rtl/>
        </w:rPr>
        <w:t>-  עבירה שנקבע לה עונש מאסר לתקופה שאינה עולה על 3 חודשים.</w:t>
      </w:r>
    </w:p>
    <w:p w:rsidR="00F07CF1" w:rsidRPr="0045569A" w:rsidRDefault="00F07CF1" w:rsidP="00F07CF1">
      <w:pPr>
        <w:spacing w:before="100" w:after="0" w:line="240" w:lineRule="auto"/>
        <w:ind w:right="113"/>
        <w:jc w:val="both"/>
        <w:rPr>
          <w:rFonts w:ascii="Arial" w:eastAsia="Times New Roman" w:hAnsi="Arial" w:cs="David"/>
          <w:sz w:val="24"/>
          <w:szCs w:val="24"/>
          <w:rtl/>
        </w:rPr>
      </w:pPr>
      <w:r w:rsidRPr="0045569A">
        <w:rPr>
          <w:rFonts w:ascii="Arial" w:eastAsia="Times New Roman" w:hAnsi="Arial" w:cs="David"/>
          <w:b/>
          <w:bCs/>
          <w:sz w:val="24"/>
          <w:szCs w:val="24"/>
          <w:rtl/>
        </w:rPr>
        <w:t>עבירה מסוג "עוון"</w:t>
      </w:r>
      <w:r w:rsidRPr="0045569A">
        <w:rPr>
          <w:rFonts w:ascii="Arial" w:eastAsia="Times New Roman" w:hAnsi="Arial" w:cs="David"/>
          <w:sz w:val="24"/>
          <w:szCs w:val="24"/>
          <w:rtl/>
        </w:rPr>
        <w:t>- עבירה שנקבע לה עונש מאסר לתקופה העולה על 3 חודשים ושאינה עולה על 3 שנים.</w:t>
      </w:r>
    </w:p>
    <w:p w:rsidR="00F07CF1" w:rsidRPr="0045569A" w:rsidRDefault="00F07CF1" w:rsidP="00F07CF1">
      <w:pPr>
        <w:spacing w:before="100" w:after="0" w:line="240" w:lineRule="auto"/>
        <w:ind w:right="113"/>
        <w:jc w:val="both"/>
        <w:rPr>
          <w:rFonts w:ascii="Arial" w:eastAsia="Times New Roman" w:hAnsi="Arial" w:cs="David"/>
          <w:b/>
          <w:bCs/>
          <w:sz w:val="24"/>
          <w:szCs w:val="24"/>
          <w:rtl/>
        </w:rPr>
      </w:pPr>
      <w:r w:rsidRPr="0045569A">
        <w:rPr>
          <w:rFonts w:ascii="Arial" w:eastAsia="Times New Roman" w:hAnsi="Arial" w:cs="David"/>
          <w:b/>
          <w:bCs/>
          <w:sz w:val="24"/>
          <w:szCs w:val="24"/>
          <w:rtl/>
        </w:rPr>
        <w:t>עבירה מסוג "פשע"</w:t>
      </w:r>
      <w:r w:rsidRPr="0045569A">
        <w:rPr>
          <w:rFonts w:ascii="Arial" w:eastAsia="Times New Roman" w:hAnsi="Arial" w:cs="David"/>
          <w:sz w:val="24"/>
          <w:szCs w:val="24"/>
          <w:rtl/>
        </w:rPr>
        <w:t>- עבירה שנקבע לה עונש חמור ממאסר לתקופה של 3 שנים.</w:t>
      </w:r>
    </w:p>
    <w:p w:rsidR="00F07CF1" w:rsidRPr="0045569A" w:rsidRDefault="00F07CF1" w:rsidP="00F07CF1">
      <w:pPr>
        <w:spacing w:before="100" w:after="0" w:line="240" w:lineRule="auto"/>
        <w:ind w:right="113"/>
        <w:jc w:val="both"/>
        <w:rPr>
          <w:rFonts w:ascii="Arial" w:eastAsia="Times New Roman" w:hAnsi="Arial" w:cs="David"/>
          <w:sz w:val="24"/>
          <w:szCs w:val="24"/>
          <w:rtl/>
        </w:rPr>
      </w:pPr>
      <w:r>
        <w:rPr>
          <w:rFonts w:ascii="Arial" w:eastAsia="Times New Roman" w:hAnsi="Arial" w:cs="David"/>
          <w:b/>
          <w:bCs/>
          <w:sz w:val="24"/>
          <w:szCs w:val="24"/>
          <w:rtl/>
        </w:rPr>
        <w:t>עבירות גרעין/ליבה</w:t>
      </w:r>
      <w:r w:rsidRPr="0045569A">
        <w:rPr>
          <w:rFonts w:ascii="Arial" w:eastAsia="Times New Roman" w:hAnsi="Arial" w:cs="David"/>
          <w:sz w:val="24"/>
          <w:szCs w:val="24"/>
          <w:rtl/>
        </w:rPr>
        <w:t>- עבירות אשר פוגעות בזכויות של אנשים אחרים (כגון: עבירות הרצח, גניבה, אונס, חבלה ועוד).</w:t>
      </w:r>
    </w:p>
    <w:p w:rsidR="00F07CF1" w:rsidRPr="0045569A" w:rsidRDefault="00F07CF1" w:rsidP="00F07CF1">
      <w:pPr>
        <w:spacing w:before="100" w:after="0" w:line="240" w:lineRule="auto"/>
        <w:ind w:right="113"/>
        <w:jc w:val="both"/>
        <w:rPr>
          <w:rFonts w:ascii="Arial" w:eastAsia="Times New Roman" w:hAnsi="Arial" w:cs="David"/>
          <w:sz w:val="24"/>
          <w:szCs w:val="24"/>
          <w:rtl/>
        </w:rPr>
      </w:pPr>
      <w:r w:rsidRPr="0045569A">
        <w:rPr>
          <w:rFonts w:ascii="Arial" w:eastAsia="Times New Roman" w:hAnsi="Arial" w:cs="David"/>
          <w:b/>
          <w:bCs/>
          <w:sz w:val="24"/>
          <w:szCs w:val="24"/>
          <w:rtl/>
        </w:rPr>
        <w:t>עבירות שוליים</w:t>
      </w:r>
      <w:r w:rsidRPr="0045569A">
        <w:rPr>
          <w:rFonts w:ascii="Arial" w:eastAsia="Times New Roman" w:hAnsi="Arial" w:cs="David"/>
          <w:sz w:val="24"/>
          <w:szCs w:val="24"/>
          <w:rtl/>
        </w:rPr>
        <w:t>- עבירות שעניינן אינו פגיעה בזכויות של אחרים אלא בתקנת הציבור (כגון: עבירות תעבורה, התקהלות אסורה, זיוף בולים ועוד).</w:t>
      </w:r>
    </w:p>
    <w:p w:rsidR="00F07CF1" w:rsidRPr="002015B0" w:rsidRDefault="00F07CF1" w:rsidP="00F07CF1">
      <w:pPr>
        <w:pStyle w:val="NormalWeb"/>
        <w:bidi/>
        <w:spacing w:beforeAutospacing="0" w:after="0" w:afterAutospacing="0"/>
        <w:ind w:right="113"/>
        <w:jc w:val="both"/>
        <w:rPr>
          <w:rFonts w:ascii="Arial" w:hAnsi="Arial" w:cs="David"/>
          <w:rtl/>
        </w:rPr>
      </w:pPr>
      <w:r>
        <w:rPr>
          <w:rFonts w:ascii="Arial" w:hAnsi="Arial" w:cs="David"/>
          <w:b/>
          <w:bCs/>
          <w:rtl/>
        </w:rPr>
        <w:t>עוולה</w:t>
      </w:r>
      <w:r w:rsidRPr="002015B0">
        <w:rPr>
          <w:rFonts w:ascii="Arial" w:hAnsi="Arial" w:cs="David"/>
          <w:rtl/>
        </w:rPr>
        <w:t>- ההתנהגות האסורה על-פי דיני הנזיקין (להבדיל מהתנהגות אסורה על-פי הדין הפלילי הנקראת "עבירה").</w:t>
      </w:r>
    </w:p>
    <w:p w:rsidR="00F07CF1" w:rsidRPr="002015B0" w:rsidRDefault="00F07CF1" w:rsidP="00F07CF1">
      <w:pPr>
        <w:pStyle w:val="NormalWeb"/>
        <w:bidi/>
        <w:spacing w:beforeAutospacing="0" w:after="0" w:afterAutospacing="0"/>
        <w:ind w:right="113"/>
        <w:jc w:val="both"/>
        <w:rPr>
          <w:rFonts w:ascii="Arial" w:hAnsi="Arial" w:cs="David"/>
        </w:rPr>
      </w:pPr>
      <w:r w:rsidRPr="002015B0">
        <w:rPr>
          <w:rFonts w:ascii="Arial" w:hAnsi="Arial" w:cs="David"/>
          <w:b/>
          <w:bCs/>
          <w:rtl/>
        </w:rPr>
        <w:t>עוולות מסגרת</w:t>
      </w:r>
      <w:r w:rsidRPr="002015B0">
        <w:rPr>
          <w:rFonts w:ascii="Arial" w:hAnsi="Arial" w:cs="David"/>
          <w:rtl/>
        </w:rPr>
        <w:t>- עוולות המתוות קווים כלליים להתנהגויות אסורות (כגון - עוולת הרשלנות).</w:t>
      </w:r>
      <w:r w:rsidRPr="002015B0">
        <w:rPr>
          <w:rFonts w:ascii="Arial" w:hAnsi="Arial" w:cs="David"/>
        </w:rPr>
        <w:t xml:space="preserve"> </w:t>
      </w:r>
    </w:p>
    <w:p w:rsidR="00F07CF1" w:rsidRPr="002015B0" w:rsidRDefault="00F07CF1" w:rsidP="00F07CF1">
      <w:pPr>
        <w:pStyle w:val="NormalWeb"/>
        <w:bidi/>
        <w:spacing w:beforeAutospacing="0" w:after="0" w:afterAutospacing="0"/>
        <w:ind w:right="113"/>
        <w:jc w:val="both"/>
        <w:rPr>
          <w:rFonts w:ascii="Arial" w:hAnsi="Arial" w:cs="David"/>
          <w:rtl/>
        </w:rPr>
      </w:pPr>
      <w:r w:rsidRPr="002015B0">
        <w:rPr>
          <w:rFonts w:ascii="Arial" w:hAnsi="Arial" w:cs="David"/>
          <w:b/>
          <w:bCs/>
          <w:rtl/>
        </w:rPr>
        <w:t>עוולות פרטיקולאריות</w:t>
      </w:r>
      <w:r w:rsidRPr="002015B0">
        <w:rPr>
          <w:rFonts w:ascii="Arial" w:hAnsi="Arial" w:cs="David"/>
          <w:rtl/>
        </w:rPr>
        <w:t>- עוולות ספציפיות הנתונות למערכת עובדתית קבועה, ברורה וחד-משמעית (כגון - עוולת התקיפה).</w:t>
      </w:r>
    </w:p>
    <w:p w:rsidR="00F07CF1" w:rsidRPr="002015B0" w:rsidRDefault="00F07CF1" w:rsidP="00F07CF1">
      <w:pPr>
        <w:pStyle w:val="NormalWeb"/>
        <w:bidi/>
        <w:spacing w:beforeAutospacing="0" w:after="0" w:afterAutospacing="0"/>
        <w:ind w:right="113"/>
        <w:jc w:val="both"/>
        <w:rPr>
          <w:rFonts w:ascii="Arial" w:hAnsi="Arial" w:cs="David"/>
          <w:rtl/>
        </w:rPr>
      </w:pPr>
      <w:r w:rsidRPr="002015B0">
        <w:rPr>
          <w:rFonts w:ascii="Arial" w:hAnsi="Arial" w:cs="David"/>
          <w:b/>
          <w:bCs/>
          <w:rtl/>
        </w:rPr>
        <w:t>עזרת הזולת (עזרת צד ג')</w:t>
      </w:r>
      <w:r w:rsidRPr="002015B0">
        <w:rPr>
          <w:rFonts w:ascii="Arial" w:hAnsi="Arial" w:cs="David"/>
          <w:rtl/>
        </w:rPr>
        <w:t>- ראש נזק המתאר את ההוצאות שהוציא/יוציא התובע-הניזוק בגין הצורך בעזרה לביצוע פעולות אשר הוא אינו מסוגל לבצען בשל נזקי ומגבלות הגוף שנגרמו לו כתוצאה מהעוולה.</w:t>
      </w:r>
    </w:p>
    <w:p w:rsidR="00F07CF1" w:rsidRPr="002015B0" w:rsidRDefault="00F07CF1" w:rsidP="00F07CF1">
      <w:pPr>
        <w:pStyle w:val="NormalWeb"/>
        <w:bidi/>
        <w:spacing w:beforeAutospacing="0" w:after="0" w:afterAutospacing="0"/>
        <w:ind w:right="113"/>
        <w:jc w:val="both"/>
        <w:rPr>
          <w:rFonts w:ascii="Arial" w:hAnsi="Arial" w:cs="David"/>
        </w:rPr>
      </w:pPr>
      <w:r w:rsidRPr="002015B0">
        <w:rPr>
          <w:rFonts w:ascii="Arial" w:hAnsi="Arial" w:cs="David"/>
          <w:b/>
          <w:bCs/>
          <w:rtl/>
        </w:rPr>
        <w:t>עמותה</w:t>
      </w:r>
      <w:r w:rsidRPr="002015B0">
        <w:rPr>
          <w:rFonts w:ascii="Arial" w:hAnsi="Arial" w:cs="David"/>
          <w:rtl/>
        </w:rPr>
        <w:t>- תאגיד שלא למטרת חלוקת רווחים.</w:t>
      </w:r>
    </w:p>
    <w:p w:rsidR="00F07CF1" w:rsidRPr="002015B0" w:rsidRDefault="00F07CF1" w:rsidP="00F07CF1">
      <w:pPr>
        <w:pStyle w:val="NormalWeb"/>
        <w:bidi/>
        <w:spacing w:beforeAutospacing="0" w:after="0" w:afterAutospacing="0"/>
        <w:ind w:right="113"/>
        <w:jc w:val="both"/>
        <w:rPr>
          <w:rFonts w:ascii="Arial" w:hAnsi="Arial" w:cs="David"/>
          <w:rtl/>
        </w:rPr>
      </w:pPr>
      <w:r w:rsidRPr="002015B0">
        <w:rPr>
          <w:rFonts w:ascii="Arial" w:hAnsi="Arial" w:cs="David"/>
          <w:b/>
          <w:bCs/>
          <w:rtl/>
        </w:rPr>
        <w:t>עצימת עיניים</w:t>
      </w:r>
      <w:r w:rsidRPr="002015B0">
        <w:rPr>
          <w:rFonts w:ascii="Arial" w:hAnsi="Arial" w:cs="David"/>
          <w:rtl/>
        </w:rPr>
        <w:t>- "עיוורון מכוון". הימנעות מכוונת מבירור טיב ההתנהגות או הנסיבות אשר מגבשים את העבירה.</w:t>
      </w:r>
    </w:p>
    <w:p w:rsidR="00F07CF1" w:rsidRPr="0045569A" w:rsidRDefault="00F07CF1" w:rsidP="00F07CF1">
      <w:pPr>
        <w:spacing w:before="100" w:after="0" w:line="240" w:lineRule="auto"/>
        <w:ind w:right="113"/>
        <w:jc w:val="both"/>
        <w:rPr>
          <w:rFonts w:ascii="Arial" w:eastAsia="Times New Roman" w:hAnsi="Arial" w:cs="David"/>
          <w:sz w:val="24"/>
          <w:szCs w:val="24"/>
          <w:rtl/>
        </w:rPr>
      </w:pPr>
      <w:r>
        <w:rPr>
          <w:rFonts w:ascii="Arial" w:eastAsia="Times New Roman" w:hAnsi="Arial" w:cs="David"/>
          <w:b/>
          <w:bCs/>
          <w:sz w:val="24"/>
          <w:szCs w:val="24"/>
          <w:rtl/>
        </w:rPr>
        <w:t>עקרון החוקיות</w:t>
      </w:r>
      <w:r w:rsidRPr="0045569A">
        <w:rPr>
          <w:rFonts w:ascii="Arial" w:eastAsia="Times New Roman" w:hAnsi="Arial" w:cs="David"/>
          <w:sz w:val="24"/>
          <w:szCs w:val="24"/>
          <w:rtl/>
        </w:rPr>
        <w:t>- עקרון על בדיני העונשין אשר בבסיסו עומדת התפיסה כי "מה שלא אסור - מותר". סעיף 1 לחוק העונשין, תשל"ז-1977, אשר הנו הגשמה של עקרון החוקיות, קובע כי: "אין עבירה ואין עונש עליה אלא אם כן נקבעו בחוק או על-פיו".</w:t>
      </w:r>
    </w:p>
    <w:p w:rsidR="00F07CF1" w:rsidRPr="002015B0" w:rsidRDefault="00F07CF1" w:rsidP="00F07CF1">
      <w:pPr>
        <w:pStyle w:val="NormalWeb"/>
        <w:bidi/>
        <w:spacing w:beforeAutospacing="0" w:after="0" w:afterAutospacing="0"/>
        <w:ind w:right="113"/>
        <w:jc w:val="both"/>
        <w:rPr>
          <w:rFonts w:ascii="Arial" w:hAnsi="Arial" w:cs="David"/>
          <w:rtl/>
        </w:rPr>
      </w:pPr>
      <w:r w:rsidRPr="002015B0">
        <w:rPr>
          <w:rFonts w:ascii="Arial" w:hAnsi="Arial" w:cs="David"/>
          <w:b/>
          <w:bCs/>
          <w:rtl/>
        </w:rPr>
        <w:t>עקרון הקטנת הנזק</w:t>
      </w:r>
      <w:r w:rsidRPr="002015B0">
        <w:rPr>
          <w:rFonts w:ascii="Arial" w:hAnsi="Arial" w:cs="David"/>
          <w:rtl/>
        </w:rPr>
        <w:t>- עקרון כללי בדיני החיובים שהתפתח בפסיקת בתי המשפט, ולפיו על הניזוק מוטלת החובה לעשות את כל הפעולות הסבירות על מנת להקטין את הנזק שנגרם לו על-ידי המזיק.</w:t>
      </w:r>
    </w:p>
    <w:p w:rsidR="00F07CF1" w:rsidRPr="002015B0" w:rsidRDefault="00F07CF1" w:rsidP="00F07CF1">
      <w:pPr>
        <w:pStyle w:val="NormalWeb"/>
        <w:bidi/>
        <w:spacing w:beforeAutospacing="0" w:after="0" w:afterAutospacing="0"/>
        <w:ind w:right="113"/>
        <w:jc w:val="both"/>
        <w:rPr>
          <w:rFonts w:ascii="Arial" w:hAnsi="Arial" w:cs="David"/>
          <w:rtl/>
        </w:rPr>
      </w:pPr>
      <w:r w:rsidRPr="002015B0">
        <w:rPr>
          <w:rFonts w:ascii="Arial" w:hAnsi="Arial" w:cs="David"/>
          <w:b/>
          <w:bCs/>
          <w:rtl/>
        </w:rPr>
        <w:t>עקרון השכנות/ציפיות</w:t>
      </w:r>
      <w:r w:rsidRPr="002015B0">
        <w:rPr>
          <w:rFonts w:ascii="Arial" w:hAnsi="Arial" w:cs="David"/>
          <w:rtl/>
        </w:rPr>
        <w:t xml:space="preserve">- עקרון משפטי הקובע כי כל אדם, באשר הוא, חייב חובת זהירות לשכנו. כלומר, אם אדם כלשהו יכול לצפות כי בשל מעשיו או מחדליו מישהו עלול להיפגע, הוא צריך לנקוט באמצעים סבירים שהמעשה הזה לא יתרחש. </w:t>
      </w:r>
    </w:p>
    <w:p w:rsidR="00F07CF1" w:rsidRPr="002015B0" w:rsidRDefault="00F07CF1" w:rsidP="00F07CF1">
      <w:pPr>
        <w:pStyle w:val="NormalWeb"/>
        <w:bidi/>
        <w:spacing w:beforeAutospacing="0" w:after="0" w:afterAutospacing="0"/>
        <w:ind w:right="113"/>
        <w:jc w:val="both"/>
        <w:rPr>
          <w:rFonts w:ascii="Arial" w:hAnsi="Arial" w:cs="David"/>
          <w:rtl/>
        </w:rPr>
      </w:pPr>
      <w:r w:rsidRPr="002015B0">
        <w:rPr>
          <w:rFonts w:ascii="Arial" w:hAnsi="Arial" w:cs="David"/>
          <w:b/>
          <w:bCs/>
          <w:rtl/>
        </w:rPr>
        <w:t>עקרון חוקיות המנהל</w:t>
      </w:r>
      <w:r w:rsidRPr="002015B0">
        <w:rPr>
          <w:rFonts w:ascii="Arial" w:hAnsi="Arial" w:cs="David"/>
          <w:rtl/>
        </w:rPr>
        <w:t>- עקרון במשפט המנהלי הקובע כי הרשות המנהלית (רשויות השלטון) מוסמכת לפעול אך רק מכוח הסמכה מפורשת בחוק, וכל מה שאינו מותר לה על פי הדין - אסור לה (לעומת זאת, כאשר מדברים על פרטים בחברה, העיקרון הוא הפוך: לאדם נתונה הרשות לעשות כל דבר שהוא חפץ בו, למעט אותם דברים שנאסרו עליו מפורשות בחוק).</w:t>
      </w:r>
    </w:p>
    <w:p w:rsidR="00F07CF1" w:rsidRPr="00BC5969" w:rsidRDefault="00F07CF1" w:rsidP="00F07CF1">
      <w:pPr>
        <w:pStyle w:val="NormalWeb"/>
        <w:bidi/>
        <w:spacing w:beforeAutospacing="0" w:after="0" w:afterAutospacing="0"/>
        <w:ind w:right="113"/>
        <w:jc w:val="both"/>
        <w:rPr>
          <w:rFonts w:ascii="Arial" w:hAnsi="Arial" w:cs="David"/>
          <w:rtl/>
        </w:rPr>
      </w:pPr>
      <w:r w:rsidRPr="002015B0">
        <w:rPr>
          <w:rFonts w:ascii="Arial" w:hAnsi="Arial" w:cs="David"/>
          <w:b/>
          <w:bCs/>
          <w:rtl/>
        </w:rPr>
        <w:t>עקרון סופיות הדיון</w:t>
      </w:r>
      <w:r w:rsidRPr="002015B0">
        <w:rPr>
          <w:rFonts w:ascii="Arial" w:hAnsi="Arial" w:cs="David"/>
          <w:rtl/>
        </w:rPr>
        <w:t>- מחסום משפטי-דיוני המונע התדיינות משפטית בסוגיה פלונית.</w:t>
      </w:r>
    </w:p>
    <w:p w:rsidR="00F07CF1" w:rsidRPr="002015B0" w:rsidRDefault="00F07CF1" w:rsidP="00F07CF1">
      <w:pPr>
        <w:pStyle w:val="NormalWeb"/>
        <w:bidi/>
        <w:spacing w:beforeAutospacing="0" w:after="0" w:afterAutospacing="0"/>
        <w:ind w:right="113"/>
        <w:jc w:val="both"/>
        <w:rPr>
          <w:rFonts w:ascii="Arial" w:hAnsi="Arial" w:cs="David"/>
          <w:rtl/>
        </w:rPr>
      </w:pPr>
      <w:r w:rsidRPr="002015B0">
        <w:rPr>
          <w:rFonts w:ascii="Arial" w:hAnsi="Arial" w:cs="David"/>
          <w:b/>
          <w:bCs/>
          <w:rtl/>
        </w:rPr>
        <w:t>עַרְכָּה (ברבים: עַרכָּאות)</w:t>
      </w:r>
      <w:r w:rsidRPr="002015B0">
        <w:rPr>
          <w:rFonts w:ascii="Arial" w:hAnsi="Arial" w:cs="David"/>
          <w:rtl/>
        </w:rPr>
        <w:t>- 1. מוסד בַּעל סַמכוּת שיפּוּטית, מקום המִשפּט, בֵּית-המִשפּט; 2. כל אחת מן הדרָגות בּמִדרַג המִשפּטים והכּפיפוּת של האחת לַחֲבֶרתהּ (ההגדרה מתוך "מילון ספיר").</w:t>
      </w:r>
    </w:p>
    <w:p w:rsidR="00F07CF1" w:rsidRPr="002015B0" w:rsidRDefault="00F07CF1" w:rsidP="00F07CF1">
      <w:pPr>
        <w:pStyle w:val="NormalWeb"/>
        <w:bidi/>
        <w:spacing w:beforeAutospacing="0" w:after="0" w:afterAutospacing="0"/>
        <w:ind w:right="113"/>
        <w:jc w:val="both"/>
        <w:rPr>
          <w:rFonts w:ascii="Arial" w:hAnsi="Arial" w:cs="David"/>
          <w:rtl/>
        </w:rPr>
      </w:pPr>
      <w:r w:rsidRPr="002015B0">
        <w:rPr>
          <w:rFonts w:ascii="Arial" w:hAnsi="Arial" w:cs="David"/>
          <w:b/>
          <w:bCs/>
          <w:rtl/>
        </w:rPr>
        <w:t>ערעור בזכות</w:t>
      </w:r>
      <w:r w:rsidRPr="002015B0">
        <w:rPr>
          <w:rFonts w:ascii="Arial" w:hAnsi="Arial" w:cs="David"/>
          <w:rtl/>
        </w:rPr>
        <w:t>- ערעור על פי זכות הקבועה בחוק. על פסק-דין שניתן בערכה אחת יש זכות ערעור בחוק לערכה הגבוהה ממנה. למשל, ערעור בפני בית משפט מחוזי על פסק-דין של בית משפט שלום. ערעור נוסף באותו עניין מחייב קבלת רשות מבית המשפט.</w:t>
      </w:r>
    </w:p>
    <w:p w:rsidR="00F07CF1" w:rsidRPr="002015B0" w:rsidRDefault="00F07CF1" w:rsidP="00F07CF1">
      <w:pPr>
        <w:pStyle w:val="NormalWeb"/>
        <w:bidi/>
        <w:spacing w:beforeAutospacing="0" w:after="0" w:afterAutospacing="0"/>
        <w:ind w:right="113"/>
        <w:jc w:val="both"/>
        <w:rPr>
          <w:rFonts w:ascii="Arial" w:hAnsi="Arial" w:cs="David"/>
          <w:rtl/>
        </w:rPr>
      </w:pPr>
      <w:r w:rsidRPr="002015B0">
        <w:rPr>
          <w:rFonts w:ascii="Arial" w:hAnsi="Arial" w:cs="David"/>
          <w:b/>
          <w:bCs/>
          <w:rtl/>
        </w:rPr>
        <w:t>ערעור ברשות</w:t>
      </w:r>
      <w:r w:rsidRPr="002015B0">
        <w:rPr>
          <w:rFonts w:ascii="Arial" w:hAnsi="Arial" w:cs="David"/>
          <w:rtl/>
        </w:rPr>
        <w:t>- ערעור שלא על-פי זכות שבחוק, אלא על-פי רשות של בית משפט. למשל, ערעור על החלטה של בית המשפט שאינה החלטה סופית.</w:t>
      </w:r>
    </w:p>
    <w:p w:rsidR="00F07CF1" w:rsidRDefault="00F07CF1" w:rsidP="00F07CF1">
      <w:pPr>
        <w:pStyle w:val="NormalWeb"/>
        <w:bidi/>
        <w:spacing w:beforeAutospacing="0" w:after="0" w:afterAutospacing="0"/>
        <w:ind w:right="113"/>
        <w:jc w:val="both"/>
        <w:rPr>
          <w:rFonts w:ascii="Arial" w:hAnsi="Arial" w:cs="David" w:hint="cs"/>
          <w:rtl/>
        </w:rPr>
      </w:pPr>
      <w:r w:rsidRPr="002015B0">
        <w:rPr>
          <w:rFonts w:ascii="Arial" w:hAnsi="Arial" w:cs="David"/>
          <w:b/>
          <w:bCs/>
          <w:rtl/>
        </w:rPr>
        <w:t xml:space="preserve">עתירה </w:t>
      </w:r>
      <w:r w:rsidR="001E2CE2" w:rsidRPr="002015B0">
        <w:rPr>
          <w:rFonts w:ascii="Arial" w:hAnsi="Arial" w:cs="David" w:hint="cs"/>
          <w:b/>
          <w:bCs/>
          <w:rtl/>
        </w:rPr>
        <w:t>לבג"ץ</w:t>
      </w:r>
      <w:r w:rsidRPr="002015B0">
        <w:rPr>
          <w:rFonts w:ascii="Arial" w:hAnsi="Arial" w:cs="David"/>
          <w:rtl/>
        </w:rPr>
        <w:t>- פניה לבית המשפט העליון בשבתו כבית משפט גבוה לצדק לקבלת סעד או צו ביניים בעניינים שבסמכות בג"צ. </w:t>
      </w:r>
    </w:p>
    <w:p w:rsidR="00F07CF1" w:rsidRPr="002015B0" w:rsidRDefault="00F07CF1" w:rsidP="00F07CF1">
      <w:pPr>
        <w:pStyle w:val="NormalWeb"/>
        <w:bidi/>
        <w:spacing w:beforeAutospacing="0" w:after="0" w:afterAutospacing="0"/>
        <w:ind w:right="113"/>
        <w:jc w:val="both"/>
        <w:rPr>
          <w:rFonts w:ascii="Arial" w:hAnsi="Arial" w:cs="David"/>
          <w:rtl/>
        </w:rPr>
      </w:pPr>
      <w:r w:rsidRPr="002015B0">
        <w:rPr>
          <w:rFonts w:ascii="Arial" w:hAnsi="Arial" w:cs="David"/>
          <w:b/>
          <w:bCs/>
          <w:rtl/>
        </w:rPr>
        <w:lastRenderedPageBreak/>
        <w:t>פוזיטיביזם משפטי</w:t>
      </w:r>
      <w:r w:rsidRPr="002015B0">
        <w:rPr>
          <w:rFonts w:ascii="Arial" w:hAnsi="Arial" w:cs="David"/>
          <w:rtl/>
        </w:rPr>
        <w:t>- אסכולה משפטית שנולדה כתגובת נגד לתיאוריית משפט הטבע. מטרתה המרכזית היא  למצוא אבחנה ברורה בין משפט לבין מוסר - חוק אינו צריך להיות מוסרי על מנת שיהיה תקף. על-פי גישה זאת, הדרך לזיהוי נורמות משפטיות היא מבחן המקור: אם הפקודה באה מהריבון היא נורמה משפטית תקפה ללא קשר למוסריות שלה.</w:t>
      </w:r>
    </w:p>
    <w:p w:rsidR="00F07CF1" w:rsidRPr="0045569A" w:rsidRDefault="00F07CF1" w:rsidP="00F07CF1">
      <w:pPr>
        <w:spacing w:before="100" w:after="0" w:line="240" w:lineRule="auto"/>
        <w:ind w:right="113"/>
        <w:jc w:val="both"/>
        <w:rPr>
          <w:rFonts w:ascii="Arial" w:eastAsia="Times New Roman" w:hAnsi="Arial" w:cs="David"/>
          <w:sz w:val="24"/>
          <w:szCs w:val="24"/>
          <w:rtl/>
        </w:rPr>
      </w:pPr>
      <w:r>
        <w:rPr>
          <w:rFonts w:ascii="Arial" w:eastAsia="Times New Roman" w:hAnsi="Arial" w:cs="David"/>
          <w:b/>
          <w:bCs/>
          <w:sz w:val="24"/>
          <w:szCs w:val="24"/>
          <w:rtl/>
        </w:rPr>
        <w:t>פומביות</w:t>
      </w:r>
      <w:r w:rsidRPr="0045569A">
        <w:rPr>
          <w:rFonts w:ascii="Arial" w:eastAsia="Times New Roman" w:hAnsi="Arial" w:cs="David"/>
          <w:sz w:val="24"/>
          <w:szCs w:val="24"/>
          <w:rtl/>
        </w:rPr>
        <w:t>-</w:t>
      </w:r>
      <w:r w:rsidRPr="0045569A">
        <w:rPr>
          <w:rFonts w:ascii="Arial" w:eastAsia="Times New Roman" w:hAnsi="Arial" w:cs="David"/>
          <w:b/>
          <w:bCs/>
          <w:sz w:val="24"/>
          <w:szCs w:val="24"/>
          <w:rtl/>
        </w:rPr>
        <w:t xml:space="preserve"> </w:t>
      </w:r>
      <w:r w:rsidRPr="0045569A">
        <w:rPr>
          <w:rFonts w:ascii="Arial" w:eastAsia="Times New Roman" w:hAnsi="Arial" w:cs="David"/>
          <w:sz w:val="24"/>
          <w:szCs w:val="24"/>
          <w:rtl/>
        </w:rPr>
        <w:t xml:space="preserve">אחד מרכיביו של עקרון החוקיות, ולפיו חוקים פליליים חייבים להתפרסם ברשומות על-מנת שיהיה להם תוקף מחייב. </w:t>
      </w:r>
    </w:p>
    <w:p w:rsidR="00F07CF1" w:rsidRPr="002015B0" w:rsidRDefault="00F07CF1" w:rsidP="00F07CF1">
      <w:pPr>
        <w:pStyle w:val="NormalWeb"/>
        <w:bidi/>
        <w:spacing w:beforeAutospacing="0" w:after="0" w:afterAutospacing="0"/>
        <w:ind w:right="113"/>
        <w:jc w:val="both"/>
        <w:rPr>
          <w:rFonts w:ascii="Arial" w:hAnsi="Arial" w:cs="David"/>
        </w:rPr>
      </w:pPr>
      <w:r w:rsidRPr="002015B0">
        <w:rPr>
          <w:rFonts w:ascii="Arial" w:hAnsi="Arial" w:cs="David"/>
          <w:b/>
          <w:bCs/>
          <w:rtl/>
        </w:rPr>
        <w:t>פזיזות</w:t>
      </w:r>
      <w:r w:rsidRPr="002015B0">
        <w:rPr>
          <w:rFonts w:ascii="Arial" w:hAnsi="Arial" w:cs="David"/>
          <w:rtl/>
        </w:rPr>
        <w:t>- הקלה מבין הצורות של הזדון. התנהגות שנחשבת זדונית, אך ברמה קלה יותר מאשר כוונה. הפזיזות מחולקת לאדישות ולקלות-דעת.</w:t>
      </w:r>
    </w:p>
    <w:p w:rsidR="00F07CF1" w:rsidRPr="002015B0" w:rsidRDefault="00F07CF1" w:rsidP="00F07CF1">
      <w:pPr>
        <w:pStyle w:val="NormalWeb"/>
        <w:bidi/>
        <w:spacing w:beforeAutospacing="0" w:after="0" w:afterAutospacing="0"/>
        <w:ind w:right="113"/>
        <w:jc w:val="both"/>
        <w:rPr>
          <w:rFonts w:ascii="Arial" w:hAnsi="Arial" w:cs="David"/>
          <w:rtl/>
        </w:rPr>
      </w:pPr>
      <w:r>
        <w:rPr>
          <w:rFonts w:ascii="Arial" w:hAnsi="Arial" w:cs="David"/>
          <w:b/>
          <w:bCs/>
          <w:rtl/>
        </w:rPr>
        <w:t>פיצויי הסתמכות</w:t>
      </w:r>
      <w:r w:rsidRPr="002015B0">
        <w:rPr>
          <w:rFonts w:ascii="Arial" w:hAnsi="Arial" w:cs="David"/>
          <w:rtl/>
        </w:rPr>
        <w:t xml:space="preserve">- פיצויים להם זכאי הנפגע בעד הנזק שנגרם לו עקב ההפרה ותוצאותיה ושהמפר ראה אותו או שהיה עליו לראותו מראש, בעת כריתת החוזה, כתוצאה מסתברת של ההפרה. פיצויים אלו קבועים בסעיף 10 לחוק החוזים (תרופות), ומטרתם להעמיד את הנפגע בדיוק באותו המצב בו היה לו היה החוזה מקוים. </w:t>
      </w:r>
    </w:p>
    <w:p w:rsidR="00F07CF1" w:rsidRPr="002015B0" w:rsidRDefault="00F07CF1" w:rsidP="00F07CF1">
      <w:pPr>
        <w:pStyle w:val="NormalWeb"/>
        <w:bidi/>
        <w:spacing w:beforeAutospacing="0" w:after="0" w:afterAutospacing="0"/>
        <w:ind w:right="113"/>
        <w:jc w:val="both"/>
        <w:rPr>
          <w:rFonts w:ascii="Arial" w:hAnsi="Arial" w:cs="David"/>
          <w:rtl/>
        </w:rPr>
      </w:pPr>
      <w:r w:rsidRPr="002015B0">
        <w:rPr>
          <w:rFonts w:ascii="Arial" w:hAnsi="Arial" w:cs="David"/>
          <w:b/>
          <w:bCs/>
          <w:rtl/>
        </w:rPr>
        <w:t>פיצויים</w:t>
      </w:r>
      <w:r w:rsidRPr="002015B0">
        <w:rPr>
          <w:rFonts w:ascii="Arial" w:hAnsi="Arial" w:cs="David"/>
          <w:rtl/>
        </w:rPr>
        <w:t>- סכום כספי שמוטל על מזיק לשלמו לניזוק, כדי לפצות את הניזוק על הנזק שנגרם לו.</w:t>
      </w:r>
    </w:p>
    <w:p w:rsidR="00F07CF1" w:rsidRPr="002015B0" w:rsidRDefault="00F07CF1" w:rsidP="00F07CF1">
      <w:pPr>
        <w:pStyle w:val="NormalWeb"/>
        <w:bidi/>
        <w:spacing w:beforeAutospacing="0" w:after="0" w:afterAutospacing="0"/>
        <w:ind w:right="113"/>
        <w:jc w:val="both"/>
        <w:rPr>
          <w:rFonts w:ascii="Arial" w:hAnsi="Arial" w:cs="David"/>
          <w:rtl/>
        </w:rPr>
      </w:pPr>
      <w:r w:rsidRPr="002015B0">
        <w:rPr>
          <w:rFonts w:ascii="Arial" w:hAnsi="Arial" w:cs="David"/>
          <w:b/>
          <w:bCs/>
          <w:rtl/>
        </w:rPr>
        <w:t>פיצויים בעד נזק שאינו ממון</w:t>
      </w:r>
      <w:r w:rsidRPr="002015B0">
        <w:rPr>
          <w:rFonts w:ascii="Arial" w:hAnsi="Arial" w:cs="David"/>
          <w:rtl/>
        </w:rPr>
        <w:t xml:space="preserve">- פיצויים בעד נזק שאינו כספי גרידא הניתנים לפי סעיף 13 לחוק החוזים (תרופות). לדוגמא -  פיצוי בגין "עוגמת נפש". </w:t>
      </w:r>
    </w:p>
    <w:p w:rsidR="00F07CF1" w:rsidRPr="00BC5969" w:rsidRDefault="00F07CF1" w:rsidP="00F07CF1">
      <w:pPr>
        <w:pStyle w:val="NormalWeb"/>
        <w:bidi/>
        <w:spacing w:beforeAutospacing="0" w:after="0" w:afterAutospacing="0"/>
        <w:ind w:right="113"/>
        <w:jc w:val="both"/>
        <w:rPr>
          <w:rFonts w:ascii="Arial" w:hAnsi="Arial" w:cs="David"/>
          <w:rtl/>
        </w:rPr>
      </w:pPr>
      <w:r w:rsidRPr="002015B0">
        <w:rPr>
          <w:rFonts w:ascii="Arial" w:hAnsi="Arial" w:cs="David"/>
          <w:b/>
          <w:bCs/>
          <w:rtl/>
        </w:rPr>
        <w:t>פיצויים מוסכמים</w:t>
      </w:r>
      <w:r w:rsidRPr="002015B0">
        <w:rPr>
          <w:rFonts w:ascii="Arial" w:hAnsi="Arial" w:cs="David"/>
          <w:rtl/>
        </w:rPr>
        <w:t xml:space="preserve">- פיצויים בסכום שעליו הסכימו הצדדים מראש, אף ללא הוכחת נזק. ניתנים בהתאם לסעיף 15 לחוק החוזים (תרופות). </w:t>
      </w:r>
    </w:p>
    <w:p w:rsidR="00F07CF1" w:rsidRPr="002015B0" w:rsidRDefault="00F07CF1" w:rsidP="00F07CF1">
      <w:pPr>
        <w:pStyle w:val="NormalWeb"/>
        <w:bidi/>
        <w:spacing w:beforeAutospacing="0" w:after="0" w:afterAutospacing="0"/>
        <w:ind w:right="113"/>
        <w:jc w:val="both"/>
        <w:rPr>
          <w:rFonts w:ascii="Arial" w:hAnsi="Arial" w:cs="David"/>
          <w:rtl/>
        </w:rPr>
      </w:pPr>
      <w:r w:rsidRPr="002015B0">
        <w:rPr>
          <w:rFonts w:ascii="Arial" w:hAnsi="Arial" w:cs="David"/>
          <w:b/>
          <w:bCs/>
          <w:rtl/>
        </w:rPr>
        <w:t>פיצויים עונשיים</w:t>
      </w:r>
      <w:r w:rsidRPr="002015B0">
        <w:rPr>
          <w:rFonts w:ascii="Arial" w:hAnsi="Arial" w:cs="David"/>
          <w:rtl/>
        </w:rPr>
        <w:t>- פיצוי כספי אשר ניתן לניזוק מעבר לסך הנזק שנגרם לו בפועל. מטרת הפיצויים העונשיים היא להעניש את המזיק על התנהגותו הרעה וכן להביע את סלידת בית המשפט מחומרת ואופי מעשיו/מחדליו.</w:t>
      </w:r>
    </w:p>
    <w:p w:rsidR="00F07CF1" w:rsidRPr="00BC5969" w:rsidRDefault="00F07CF1" w:rsidP="00F07CF1">
      <w:pPr>
        <w:pStyle w:val="NormalWeb"/>
        <w:bidi/>
        <w:spacing w:beforeAutospacing="0" w:after="0" w:afterAutospacing="0"/>
        <w:ind w:right="113"/>
        <w:jc w:val="both"/>
        <w:rPr>
          <w:rFonts w:ascii="Arial" w:hAnsi="Arial" w:cs="David"/>
          <w:rtl/>
        </w:rPr>
      </w:pPr>
      <w:r w:rsidRPr="002015B0">
        <w:rPr>
          <w:rFonts w:ascii="Arial" w:hAnsi="Arial" w:cs="David"/>
          <w:b/>
          <w:bCs/>
          <w:rtl/>
        </w:rPr>
        <w:t>פקודה בלתי חוקית בעליל</w:t>
      </w:r>
      <w:r w:rsidRPr="002015B0">
        <w:rPr>
          <w:rFonts w:ascii="Arial" w:hAnsi="Arial" w:cs="David"/>
          <w:rtl/>
        </w:rPr>
        <w:t xml:space="preserve"> - פקודה צבאית שברור לכל אדם כי מילויה יהיה בגדר עבירה פלילית והעושה יורשע בדין אם יבצע אותה. על החייל שקיבל פקודה כזו, לסרב לציית לה כאשר היא ניתנת לו, ואם ציית לה - חלה עליו אחריות פלילית לתוצאות מעשהו.</w:t>
      </w:r>
    </w:p>
    <w:p w:rsidR="00F07CF1" w:rsidRPr="00B1347B" w:rsidRDefault="00F07CF1" w:rsidP="00B1347B">
      <w:pPr>
        <w:pStyle w:val="NormalWeb"/>
        <w:bidi/>
        <w:spacing w:beforeAutospacing="0" w:after="0" w:afterAutospacing="0"/>
        <w:ind w:right="113"/>
        <w:jc w:val="both"/>
        <w:rPr>
          <w:rFonts w:ascii="Arial" w:hAnsi="Arial" w:cs="David" w:hint="cs"/>
          <w:rtl/>
        </w:rPr>
      </w:pPr>
      <w:r w:rsidRPr="002015B0">
        <w:rPr>
          <w:rFonts w:ascii="Arial" w:hAnsi="Arial" w:cs="David"/>
          <w:b/>
          <w:bCs/>
          <w:rtl/>
        </w:rPr>
        <w:t>פרשנות דו-שלבית</w:t>
      </w:r>
      <w:r w:rsidRPr="002015B0">
        <w:rPr>
          <w:rFonts w:ascii="Arial" w:hAnsi="Arial" w:cs="David"/>
          <w:rtl/>
        </w:rPr>
        <w:t>- דוקטרינה משפטית הגורסת כי בפרשנות החוזה ישנם שני שלבים: הראשון, בדיקת הטקסט החוזי, והשני - ורק כאשר יש יותר מפירוש אחד לחוזה - בודקים מהו הפירוש שתואם ביותר את כוונת הצדדים (עם עדיפות לפרשנות מתוך החוזה).</w:t>
      </w:r>
    </w:p>
    <w:p w:rsidR="00E7418B" w:rsidRPr="002015B0" w:rsidRDefault="00E7418B" w:rsidP="00E7418B">
      <w:pPr>
        <w:pStyle w:val="NormalWeb"/>
        <w:bidi/>
        <w:spacing w:beforeAutospacing="0" w:after="0" w:afterAutospacing="0"/>
        <w:ind w:right="113"/>
        <w:jc w:val="both"/>
        <w:rPr>
          <w:rFonts w:ascii="Arial" w:hAnsi="Arial" w:cs="David"/>
          <w:rtl/>
        </w:rPr>
      </w:pPr>
      <w:r w:rsidRPr="002015B0">
        <w:rPr>
          <w:rFonts w:ascii="Arial" w:hAnsi="Arial" w:cs="David"/>
          <w:b/>
          <w:bCs/>
          <w:rtl/>
        </w:rPr>
        <w:t>צו ביניים</w:t>
      </w:r>
      <w:r w:rsidRPr="002015B0">
        <w:rPr>
          <w:rFonts w:ascii="Arial" w:hAnsi="Arial" w:cs="David"/>
          <w:rtl/>
        </w:rPr>
        <w:t>- צו זמני לעשיית מעשה או להימנע מלעשותו הניתן על-ידי בג"צ לבקשת עותר, וזאת עד לקיום דיון בעתירה במעמד שני הצדדים.</w:t>
      </w:r>
    </w:p>
    <w:p w:rsidR="00E7418B" w:rsidRPr="002015B0" w:rsidRDefault="00E7418B" w:rsidP="00E7418B">
      <w:pPr>
        <w:pStyle w:val="NormalWeb"/>
        <w:bidi/>
        <w:spacing w:beforeAutospacing="0" w:after="0" w:afterAutospacing="0"/>
        <w:ind w:right="113"/>
        <w:jc w:val="both"/>
        <w:rPr>
          <w:rFonts w:ascii="Arial" w:hAnsi="Arial" w:cs="David"/>
          <w:rtl/>
        </w:rPr>
      </w:pPr>
      <w:r w:rsidRPr="002015B0">
        <w:rPr>
          <w:rFonts w:ascii="Arial" w:hAnsi="Arial" w:cs="David"/>
          <w:b/>
          <w:bCs/>
          <w:rtl/>
        </w:rPr>
        <w:t>צו מוחלט</w:t>
      </w:r>
      <w:r w:rsidRPr="002015B0">
        <w:rPr>
          <w:rFonts w:ascii="Arial" w:hAnsi="Arial" w:cs="David"/>
          <w:rtl/>
        </w:rPr>
        <w:t xml:space="preserve">- צו הניתן על-ידי בג"צ לבקשת עותר, האוסר על רשות שלטונית או ממלא תפקיד שלטוני לבצע צעדים </w:t>
      </w:r>
      <w:r w:rsidR="001E2CE2" w:rsidRPr="002015B0">
        <w:rPr>
          <w:rFonts w:ascii="Arial" w:hAnsi="Arial" w:cs="David" w:hint="cs"/>
          <w:rtl/>
        </w:rPr>
        <w:t>מסוימים</w:t>
      </w:r>
      <w:r w:rsidRPr="002015B0">
        <w:rPr>
          <w:rFonts w:ascii="Arial" w:hAnsi="Arial" w:cs="David"/>
          <w:rtl/>
        </w:rPr>
        <w:t xml:space="preserve"> ו/או המורה להם לפעול באופן מסוים.</w:t>
      </w:r>
    </w:p>
    <w:p w:rsidR="00E7418B" w:rsidRPr="002015B0" w:rsidRDefault="00E7418B" w:rsidP="00E7418B">
      <w:pPr>
        <w:pStyle w:val="NormalWeb"/>
        <w:bidi/>
        <w:spacing w:beforeAutospacing="0" w:after="0" w:afterAutospacing="0"/>
        <w:ind w:right="113"/>
        <w:jc w:val="both"/>
        <w:rPr>
          <w:rFonts w:ascii="Arial" w:hAnsi="Arial" w:cs="David"/>
          <w:rtl/>
        </w:rPr>
      </w:pPr>
      <w:r w:rsidRPr="002015B0">
        <w:rPr>
          <w:rFonts w:ascii="Arial" w:hAnsi="Arial" w:cs="David"/>
          <w:b/>
          <w:bCs/>
          <w:rtl/>
        </w:rPr>
        <w:t>צו על תנאי</w:t>
      </w:r>
      <w:r w:rsidRPr="002015B0">
        <w:rPr>
          <w:rFonts w:ascii="Arial" w:hAnsi="Arial" w:cs="David"/>
          <w:rtl/>
        </w:rPr>
        <w:t>- צו הניתן על-ידי בג"צ לבקשת עותר, המורה לרשות שלטונית או לממלא תפקיד שלטוני לנמק מדוע לא יעשו או ימנעו מלעשות את הפעולה המפורטת בעתירה. </w:t>
      </w:r>
    </w:p>
    <w:p w:rsidR="00B1347B" w:rsidRPr="00BC5969" w:rsidRDefault="00B1347B" w:rsidP="00B1347B">
      <w:pPr>
        <w:pStyle w:val="NormalWeb"/>
        <w:bidi/>
        <w:spacing w:beforeAutospacing="0" w:after="0" w:afterAutospacing="0"/>
        <w:ind w:right="113"/>
        <w:jc w:val="both"/>
        <w:rPr>
          <w:rFonts w:ascii="Arial" w:hAnsi="Arial" w:cs="David"/>
          <w:rtl/>
        </w:rPr>
      </w:pPr>
      <w:r w:rsidRPr="002015B0">
        <w:rPr>
          <w:rFonts w:ascii="Arial" w:hAnsi="Arial" w:cs="David"/>
          <w:b/>
          <w:bCs/>
          <w:rtl/>
        </w:rPr>
        <w:t>קיבול</w:t>
      </w:r>
      <w:r w:rsidRPr="002015B0">
        <w:rPr>
          <w:rFonts w:ascii="Arial" w:hAnsi="Arial" w:cs="David"/>
          <w:rtl/>
        </w:rPr>
        <w:t>- הודעה של הניצע שנמסרת למציע ושמעידה על גמירת דעתו של הניצע להתקשר עם המציע בחוזה לפי ההצעה.</w:t>
      </w:r>
    </w:p>
    <w:p w:rsidR="00B1347B" w:rsidRPr="002015B0" w:rsidRDefault="00B1347B" w:rsidP="00B1347B">
      <w:pPr>
        <w:pStyle w:val="NormalWeb"/>
        <w:bidi/>
        <w:spacing w:beforeAutospacing="0" w:after="0" w:afterAutospacing="0"/>
        <w:ind w:right="113"/>
        <w:jc w:val="both"/>
        <w:rPr>
          <w:rFonts w:ascii="Arial" w:hAnsi="Arial" w:cs="David"/>
        </w:rPr>
      </w:pPr>
      <w:r w:rsidRPr="002015B0">
        <w:rPr>
          <w:rFonts w:ascii="Arial" w:hAnsi="Arial" w:cs="David"/>
          <w:b/>
          <w:bCs/>
          <w:rtl/>
        </w:rPr>
        <w:t>קלות דעת</w:t>
      </w:r>
      <w:r w:rsidRPr="002015B0">
        <w:rPr>
          <w:rFonts w:ascii="Arial" w:hAnsi="Arial" w:cs="David"/>
          <w:rtl/>
        </w:rPr>
        <w:t xml:space="preserve">- נטילת סיכון בלתי סביר מתוך תקווה למנוע את התרחשות התוצאה האסורה. </w:t>
      </w:r>
    </w:p>
    <w:p w:rsidR="00B1347B" w:rsidRPr="002015B0" w:rsidRDefault="00B1347B" w:rsidP="00B1347B">
      <w:pPr>
        <w:pStyle w:val="NormalWeb"/>
        <w:bidi/>
        <w:spacing w:beforeAutospacing="0" w:after="0" w:afterAutospacing="0"/>
        <w:ind w:right="113"/>
        <w:jc w:val="both"/>
        <w:rPr>
          <w:rFonts w:ascii="Arial" w:hAnsi="Arial" w:cs="David"/>
          <w:rtl/>
        </w:rPr>
      </w:pPr>
      <w:r w:rsidRPr="002015B0">
        <w:rPr>
          <w:rFonts w:ascii="Arial" w:hAnsi="Arial" w:cs="David"/>
          <w:b/>
          <w:bCs/>
          <w:rtl/>
        </w:rPr>
        <w:t>קשר סיבתי</w:t>
      </w:r>
      <w:r w:rsidRPr="002015B0">
        <w:rPr>
          <w:rFonts w:ascii="Arial" w:hAnsi="Arial" w:cs="David"/>
          <w:rtl/>
        </w:rPr>
        <w:t>- הגורם המקשר בין הפרת חובת הזהירות לבין הנזק שנגרם. רכיב זה בודק האם הנזק נגרם בשל הפרת חובת הזהירות על-ידי המזיק ולא על-ידי גורמים אחרים.</w:t>
      </w:r>
    </w:p>
    <w:p w:rsidR="00B1347B" w:rsidRPr="002015B0" w:rsidRDefault="00B1347B" w:rsidP="00B1347B">
      <w:pPr>
        <w:pStyle w:val="NormalWeb"/>
        <w:bidi/>
        <w:spacing w:beforeAutospacing="0" w:after="0" w:afterAutospacing="0"/>
        <w:ind w:right="113"/>
        <w:jc w:val="both"/>
        <w:rPr>
          <w:rFonts w:ascii="Arial" w:hAnsi="Arial" w:cs="David"/>
          <w:rtl/>
        </w:rPr>
      </w:pPr>
      <w:r w:rsidRPr="002015B0">
        <w:rPr>
          <w:rFonts w:ascii="Arial" w:hAnsi="Arial" w:cs="David"/>
          <w:b/>
          <w:bCs/>
          <w:rtl/>
        </w:rPr>
        <w:t>קשר סיבתי משפטי</w:t>
      </w:r>
      <w:r w:rsidRPr="002015B0">
        <w:rPr>
          <w:rFonts w:ascii="Arial" w:hAnsi="Arial" w:cs="David"/>
          <w:rtl/>
        </w:rPr>
        <w:t>- מבחן הבודק האם הנזק שגרם המעוול היה בתחום הציפיה של המעוול ("מבחן הצפיות"). זהו מבחן אובייקטיבי אשר נבחן על-פי סטנדרט האדם הסביר. כלומר, האם האדם הסביר היה יכול בנסיבות העניין לצפות את הנזק?</w:t>
      </w:r>
    </w:p>
    <w:p w:rsidR="00B1347B" w:rsidRPr="002015B0" w:rsidRDefault="00B1347B" w:rsidP="00B1347B">
      <w:pPr>
        <w:pStyle w:val="NormalWeb"/>
        <w:bidi/>
        <w:spacing w:beforeAutospacing="0" w:after="0" w:afterAutospacing="0"/>
        <w:ind w:right="113"/>
        <w:jc w:val="both"/>
        <w:rPr>
          <w:rFonts w:ascii="Arial" w:hAnsi="Arial" w:cs="David"/>
          <w:rtl/>
        </w:rPr>
      </w:pPr>
      <w:r w:rsidRPr="002015B0">
        <w:rPr>
          <w:rFonts w:ascii="Arial" w:hAnsi="Arial" w:cs="David"/>
          <w:b/>
          <w:bCs/>
          <w:rtl/>
        </w:rPr>
        <w:t>קשר סיבתי עובדתי (מבחן הסיבה שבלעדיה אין)</w:t>
      </w:r>
      <w:r w:rsidRPr="002015B0">
        <w:rPr>
          <w:rFonts w:ascii="Arial" w:hAnsi="Arial" w:cs="David"/>
          <w:rtl/>
        </w:rPr>
        <w:t xml:space="preserve">- מבחן טכני אשר "מוציא" את התנהגותו של הנתבע מרצף האירועים ובודק האם למרות זאת היה הנזק נגרם. אם התשובה היא "כן", כי אז אין קשר סיבתי בין הפרת חובת הזהירות של הנתבע לבין הנזק שנגרם (שהרי הנזק היה נגרם ממילא וללא קשר להתנהגות הנתבע), אך אם התשובה היא "לא", כי אז יש קשר סיבתי בין הפרת חובת הזהירות לבין הנזק שנגרם. </w:t>
      </w:r>
    </w:p>
    <w:p w:rsidR="00B1347B" w:rsidRPr="002015B0" w:rsidRDefault="00B1347B" w:rsidP="00B1347B">
      <w:pPr>
        <w:pStyle w:val="NormalWeb"/>
        <w:bidi/>
        <w:spacing w:beforeAutospacing="0" w:after="0" w:afterAutospacing="0"/>
        <w:ind w:right="113"/>
        <w:jc w:val="both"/>
        <w:rPr>
          <w:rFonts w:ascii="Arial" w:hAnsi="Arial" w:cs="David"/>
          <w:rtl/>
        </w:rPr>
      </w:pPr>
      <w:r>
        <w:rPr>
          <w:rFonts w:ascii="Arial" w:hAnsi="Arial" w:cs="David"/>
          <w:b/>
          <w:bCs/>
          <w:rtl/>
        </w:rPr>
        <w:t>ראשי נזק</w:t>
      </w:r>
      <w:r w:rsidRPr="002015B0">
        <w:rPr>
          <w:rFonts w:ascii="Arial" w:hAnsi="Arial" w:cs="David"/>
          <w:rtl/>
        </w:rPr>
        <w:t>- קטגוריות שונות של סוגי נזקים המרכיבים את הנזק בכללותו (כגון - כאב וסבל, הפסדי השתכרות, הוצאות, קיצור תוחלת החיים ועוד).</w:t>
      </w:r>
    </w:p>
    <w:p w:rsidR="00E7418B" w:rsidRPr="00B1347B" w:rsidRDefault="00B1347B" w:rsidP="00B1347B">
      <w:pPr>
        <w:pStyle w:val="NormalWeb"/>
        <w:bidi/>
        <w:spacing w:beforeAutospacing="0" w:after="0" w:afterAutospacing="0"/>
        <w:ind w:right="113"/>
        <w:jc w:val="both"/>
        <w:rPr>
          <w:rFonts w:ascii="Arial" w:hAnsi="Arial" w:cs="David" w:hint="cs"/>
          <w:rtl/>
        </w:rPr>
      </w:pPr>
      <w:r w:rsidRPr="002015B0">
        <w:rPr>
          <w:rFonts w:ascii="Arial" w:hAnsi="Arial" w:cs="David"/>
          <w:b/>
          <w:bCs/>
          <w:rtl/>
        </w:rPr>
        <w:t>רציו דיסידנדי</w:t>
      </w:r>
      <w:r w:rsidRPr="002015B0">
        <w:rPr>
          <w:rFonts w:ascii="Arial" w:hAnsi="Arial" w:cs="David"/>
          <w:rtl/>
        </w:rPr>
        <w:t>- ההיגיון שעומד מאחורי החלטת בית המשפט. הרציו הוא הנימוק עצמו שנשען על האוביטר.</w:t>
      </w:r>
    </w:p>
    <w:p w:rsidR="00B1347B" w:rsidRPr="0045569A" w:rsidRDefault="00B1347B" w:rsidP="00B1347B">
      <w:pPr>
        <w:spacing w:before="100" w:after="0" w:line="240" w:lineRule="auto"/>
        <w:ind w:right="113"/>
        <w:jc w:val="both"/>
        <w:rPr>
          <w:rFonts w:ascii="Arial" w:eastAsia="Times New Roman" w:hAnsi="Arial" w:cs="David"/>
          <w:sz w:val="24"/>
          <w:szCs w:val="24"/>
          <w:rtl/>
        </w:rPr>
      </w:pPr>
      <w:r>
        <w:rPr>
          <w:rFonts w:ascii="Arial" w:eastAsia="Times New Roman" w:hAnsi="Arial" w:cs="David"/>
          <w:b/>
          <w:bCs/>
          <w:sz w:val="24"/>
          <w:szCs w:val="24"/>
          <w:rtl/>
        </w:rPr>
        <w:t>רצייה</w:t>
      </w:r>
      <w:r w:rsidRPr="0045569A">
        <w:rPr>
          <w:rFonts w:ascii="Arial" w:eastAsia="Times New Roman" w:hAnsi="Arial" w:cs="David"/>
          <w:sz w:val="24"/>
          <w:szCs w:val="24"/>
          <w:rtl/>
        </w:rPr>
        <w:t>- עצם היכולת/אפשרות לבחור בין חלופות התנהגות שונות.</w:t>
      </w:r>
    </w:p>
    <w:p w:rsidR="00B1347B" w:rsidRPr="002015B0" w:rsidRDefault="00B1347B" w:rsidP="00B1347B">
      <w:pPr>
        <w:pStyle w:val="NormalWeb"/>
        <w:bidi/>
        <w:spacing w:beforeAutospacing="0" w:after="0" w:afterAutospacing="0"/>
        <w:ind w:right="113"/>
        <w:jc w:val="both"/>
        <w:rPr>
          <w:rFonts w:ascii="Arial" w:hAnsi="Arial" w:cs="David"/>
          <w:rtl/>
        </w:rPr>
      </w:pPr>
      <w:r w:rsidRPr="002015B0">
        <w:rPr>
          <w:rFonts w:ascii="Arial" w:hAnsi="Arial" w:cs="David"/>
          <w:b/>
          <w:bCs/>
          <w:rtl/>
        </w:rPr>
        <w:t>רשלנות</w:t>
      </w:r>
      <w:r w:rsidRPr="002015B0">
        <w:rPr>
          <w:rFonts w:ascii="Arial" w:hAnsi="Arial" w:cs="David"/>
          <w:rtl/>
        </w:rPr>
        <w:t>- התנהגות המובילה לתוצאה אסורה מבלי שהעושה היה מודע לטיב מעשיו, לקיום הנסיבות או לאפשרות גרימת התוצאה (רכיבי היסוד העובדתי). המבחן לקביעת הרשלנות הוא מבחן אובייקטיבי, הידוע גם כ"מבחן האדם הסביר" (או "מבחן האדם מן הישוב"). כלומר - על האדם תוטל אחריות פלילית על-אף שהוא לא היה מודע בפועל לרכיבי היסוד העובדתי, זאת כאשר היה מצופה ממנו להיות מודע לאותם רכיבים ("אדם סביר" במקומו כן היה מודע). הרשלנות היא דרגת הביניים של היסוד הנפשי.</w:t>
      </w:r>
    </w:p>
    <w:p w:rsidR="00E7418B" w:rsidRDefault="00B1347B" w:rsidP="00B1347B">
      <w:pPr>
        <w:pStyle w:val="NormalWeb"/>
        <w:bidi/>
        <w:spacing w:beforeAutospacing="0" w:after="0" w:afterAutospacing="0"/>
        <w:ind w:right="113"/>
        <w:jc w:val="both"/>
        <w:rPr>
          <w:rFonts w:ascii="Arial" w:hAnsi="Arial" w:cs="David" w:hint="cs"/>
          <w:rtl/>
        </w:rPr>
      </w:pPr>
      <w:r w:rsidRPr="002015B0">
        <w:rPr>
          <w:rFonts w:ascii="Arial" w:hAnsi="Arial" w:cs="David"/>
          <w:b/>
          <w:bCs/>
          <w:rtl/>
        </w:rPr>
        <w:lastRenderedPageBreak/>
        <w:t>רשלנות</w:t>
      </w:r>
      <w:r w:rsidRPr="002015B0">
        <w:rPr>
          <w:rFonts w:ascii="Arial" w:hAnsi="Arial" w:cs="David"/>
          <w:rtl/>
        </w:rPr>
        <w:t>- סטייה מסטנדרט התנהגות סביר ומקובל בחברה אשר גרמה לנזק לאדם אחר. הרשלנות יכולה להיות במעשה או במחדל.</w:t>
      </w:r>
    </w:p>
    <w:p w:rsidR="00B1347B" w:rsidRPr="002015B0" w:rsidRDefault="00B1347B" w:rsidP="00B1347B">
      <w:pPr>
        <w:pStyle w:val="NormalWeb"/>
        <w:bidi/>
        <w:spacing w:beforeAutospacing="0" w:after="0" w:afterAutospacing="0"/>
        <w:ind w:right="113"/>
        <w:jc w:val="both"/>
        <w:rPr>
          <w:rFonts w:ascii="Arial" w:hAnsi="Arial" w:cs="David"/>
          <w:rtl/>
        </w:rPr>
      </w:pPr>
      <w:r w:rsidRPr="002015B0">
        <w:rPr>
          <w:rFonts w:ascii="Arial" w:hAnsi="Arial" w:cs="David"/>
          <w:b/>
          <w:bCs/>
          <w:rtl/>
        </w:rPr>
        <w:t>רשלנות תורמת (אשם תורם)</w:t>
      </w:r>
      <w:r w:rsidRPr="002015B0">
        <w:rPr>
          <w:rFonts w:ascii="Arial" w:hAnsi="Arial" w:cs="David"/>
          <w:rtl/>
        </w:rPr>
        <w:t>- טענת הגנה של נתבע כנגד תובע בתביעה נזיקית, ומשמעותה היא שאם הוכיח המזיק (הנתבע) כי הניזוק (התובע) נושא אף הוא באשם כלשהו להתרחשות הנזק שאירע, כי אז יקבע בית המשפט את מידת אשמתו של הניזוק לנזק שאירע ויפחית בהתאם לכך את הפיצוי המגיע לו מאת המזיק. נטל הוכחת האשם התורם מוטל על כתפיו של הנתבע.</w:t>
      </w:r>
    </w:p>
    <w:p w:rsidR="00B1347B" w:rsidRPr="002015B0" w:rsidRDefault="00B1347B" w:rsidP="00B1347B">
      <w:pPr>
        <w:pStyle w:val="NormalWeb"/>
        <w:bidi/>
        <w:spacing w:beforeAutospacing="0" w:after="0" w:afterAutospacing="0"/>
        <w:ind w:right="113"/>
        <w:jc w:val="both"/>
        <w:rPr>
          <w:rFonts w:ascii="Arial" w:hAnsi="Arial" w:cs="David"/>
          <w:rtl/>
        </w:rPr>
      </w:pPr>
      <w:r w:rsidRPr="002015B0">
        <w:rPr>
          <w:rFonts w:ascii="Arial" w:hAnsi="Arial" w:cs="David"/>
          <w:b/>
          <w:bCs/>
          <w:rtl/>
        </w:rPr>
        <w:t>שותפות</w:t>
      </w:r>
      <w:r w:rsidRPr="002015B0">
        <w:rPr>
          <w:rFonts w:ascii="Arial" w:hAnsi="Arial" w:cs="David"/>
          <w:rtl/>
        </w:rPr>
        <w:t xml:space="preserve">- תאגיד לשם הפקת רווחים כאשר אחריות החברים אינה מוגבלת. </w:t>
      </w:r>
    </w:p>
    <w:p w:rsidR="0045569A" w:rsidRPr="002015B0" w:rsidRDefault="0045569A" w:rsidP="002015B0">
      <w:pPr>
        <w:pStyle w:val="NormalWeb"/>
        <w:bidi/>
        <w:spacing w:beforeAutospacing="0" w:after="0" w:afterAutospacing="0"/>
        <w:ind w:right="113"/>
        <w:jc w:val="both"/>
        <w:rPr>
          <w:rFonts w:ascii="Arial" w:hAnsi="Arial" w:cs="David"/>
        </w:rPr>
      </w:pPr>
      <w:r w:rsidRPr="002015B0">
        <w:rPr>
          <w:rFonts w:ascii="Arial" w:hAnsi="Arial" w:cs="David"/>
          <w:b/>
          <w:bCs/>
          <w:rtl/>
        </w:rPr>
        <w:t>שיהוי</w:t>
      </w:r>
      <w:r w:rsidRPr="002015B0">
        <w:rPr>
          <w:rFonts w:ascii="Arial" w:hAnsi="Arial" w:cs="David"/>
          <w:rtl/>
        </w:rPr>
        <w:t>- הימנעות מהגשת תביעה או עתירה בזמן הראוי לכך.</w:t>
      </w:r>
    </w:p>
    <w:p w:rsidR="001D32DF" w:rsidRPr="00B1347B" w:rsidRDefault="00C6586F" w:rsidP="00B1347B">
      <w:pPr>
        <w:spacing w:before="100" w:after="0" w:line="240" w:lineRule="auto"/>
        <w:ind w:right="113"/>
        <w:jc w:val="both"/>
        <w:rPr>
          <w:rFonts w:ascii="Arial" w:eastAsia="Times New Roman" w:hAnsi="Arial" w:cs="David" w:hint="cs"/>
          <w:sz w:val="24"/>
          <w:szCs w:val="24"/>
          <w:rtl/>
        </w:rPr>
      </w:pPr>
      <w:r>
        <w:rPr>
          <w:rFonts w:ascii="Arial" w:eastAsia="Times New Roman" w:hAnsi="Arial" w:cs="David"/>
          <w:b/>
          <w:bCs/>
          <w:sz w:val="24"/>
          <w:szCs w:val="24"/>
          <w:rtl/>
        </w:rPr>
        <w:t>שיקום</w:t>
      </w:r>
      <w:r w:rsidR="0045569A" w:rsidRPr="0045569A">
        <w:rPr>
          <w:rFonts w:ascii="Arial" w:eastAsia="Times New Roman" w:hAnsi="Arial" w:cs="David"/>
          <w:sz w:val="24"/>
          <w:szCs w:val="24"/>
          <w:rtl/>
        </w:rPr>
        <w:t>- אחד מצידוקי הענישה, ולפיו אין היגיון בגרימת סבל לעבריין, אלא יש לשקם ולרפא אותו.</w:t>
      </w:r>
    </w:p>
    <w:p w:rsidR="009478B7" w:rsidRPr="002015B0" w:rsidRDefault="009478B7" w:rsidP="001D32DF">
      <w:pPr>
        <w:pStyle w:val="NormalWeb"/>
        <w:bidi/>
        <w:spacing w:beforeAutospacing="0" w:after="0" w:afterAutospacing="0"/>
        <w:ind w:right="113"/>
        <w:jc w:val="both"/>
        <w:rPr>
          <w:rFonts w:ascii="Arial" w:hAnsi="Arial" w:cs="David"/>
          <w:rtl/>
        </w:rPr>
      </w:pPr>
      <w:r w:rsidRPr="002015B0">
        <w:rPr>
          <w:rFonts w:ascii="Arial" w:hAnsi="Arial" w:cs="David"/>
          <w:b/>
          <w:bCs/>
          <w:rtl/>
        </w:rPr>
        <w:t>תאגיד</w:t>
      </w:r>
      <w:r w:rsidRPr="002015B0">
        <w:rPr>
          <w:rFonts w:ascii="Arial" w:hAnsi="Arial" w:cs="David"/>
          <w:rtl/>
        </w:rPr>
        <w:t>- אישיות משפטית עצמאית מלאכותית בעלת כשרות כללית, הנושאת בזכויות ובחובות משלה (כגון: חברה, עמותה, שותפות רשומה, רשות מקומית ועוד).</w:t>
      </w:r>
    </w:p>
    <w:p w:rsidR="00B1347B" w:rsidRPr="002015B0" w:rsidRDefault="00B1347B" w:rsidP="00B1347B">
      <w:pPr>
        <w:pStyle w:val="NormalWeb"/>
        <w:bidi/>
        <w:spacing w:beforeAutospacing="0" w:after="0" w:afterAutospacing="0"/>
        <w:ind w:right="113"/>
        <w:jc w:val="both"/>
        <w:rPr>
          <w:rFonts w:ascii="Arial" w:hAnsi="Arial" w:cs="David"/>
          <w:rtl/>
        </w:rPr>
      </w:pPr>
      <w:r w:rsidRPr="002015B0">
        <w:rPr>
          <w:rFonts w:ascii="Arial" w:hAnsi="Arial" w:cs="David"/>
          <w:b/>
          <w:bCs/>
          <w:rtl/>
        </w:rPr>
        <w:t>תום לב</w:t>
      </w:r>
      <w:r w:rsidRPr="002015B0">
        <w:rPr>
          <w:rFonts w:ascii="Arial" w:hAnsi="Arial" w:cs="David"/>
          <w:rtl/>
        </w:rPr>
        <w:t>- דוקטרינה כללית שחלה בכל תחומי המשפט, לפיה כל בעל זכות צריך להפעיל את זכותו בדרך מקובלת ובתום לב. זהו עקרון "מלכותי" אשר קובע אמת מידה אובייקטיבית של התנהגות ראויה במכלול היחסים הבינאישיים. מקורו הפורמאלי של העיקרון הוא בהוראות סעיפים 12 ו- 39 לחוק החוזים (חלק כללי), התשל"ג-1973, ובאמצעות סעיף 61(ב) לחוק החוזים יוצא עקרון תום הלב לכלל המשפט הישראלי.</w:t>
      </w:r>
    </w:p>
    <w:p w:rsidR="00B1347B" w:rsidRPr="002015B0" w:rsidRDefault="00B1347B" w:rsidP="00B1347B">
      <w:pPr>
        <w:pStyle w:val="NormalWeb"/>
        <w:bidi/>
        <w:spacing w:beforeAutospacing="0" w:after="0" w:afterAutospacing="0"/>
        <w:ind w:right="113"/>
        <w:jc w:val="both"/>
        <w:rPr>
          <w:rFonts w:ascii="Arial" w:hAnsi="Arial" w:cs="David"/>
          <w:rtl/>
        </w:rPr>
      </w:pPr>
      <w:r w:rsidRPr="002015B0">
        <w:rPr>
          <w:rFonts w:ascii="Arial" w:hAnsi="Arial" w:cs="David"/>
          <w:b/>
          <w:bCs/>
          <w:rtl/>
        </w:rPr>
        <w:t>תורת האורגנים</w:t>
      </w:r>
      <w:r w:rsidRPr="002015B0">
        <w:rPr>
          <w:rFonts w:ascii="Arial" w:hAnsi="Arial" w:cs="David"/>
          <w:rtl/>
        </w:rPr>
        <w:t xml:space="preserve">- דוקטרינה משפטית לפיה במצבים מסוימים אנו מייחסים את המחשבה והמעשים של אורגן </w:t>
      </w:r>
      <w:r w:rsidR="001F6F9D" w:rsidRPr="002015B0">
        <w:rPr>
          <w:rFonts w:ascii="Arial" w:hAnsi="Arial" w:cs="David" w:hint="cs"/>
          <w:rtl/>
        </w:rPr>
        <w:t>מסוים</w:t>
      </w:r>
      <w:r w:rsidRPr="002015B0">
        <w:rPr>
          <w:rFonts w:ascii="Arial" w:hAnsi="Arial" w:cs="David"/>
          <w:rtl/>
        </w:rPr>
        <w:t xml:space="preserve"> בתאגיד לתאגיד עצמו, ואז באותן נסיבות עובדתיות ניתן להטיל על התאגיד חובה/זכות בשל המחשבה והמעשים של אותו אורגן.</w:t>
      </w:r>
    </w:p>
    <w:p w:rsidR="00B1347B" w:rsidRPr="002015B0" w:rsidRDefault="00B1347B" w:rsidP="00B1347B">
      <w:pPr>
        <w:pStyle w:val="NormalWeb"/>
        <w:bidi/>
        <w:spacing w:beforeAutospacing="0" w:after="0" w:afterAutospacing="0"/>
        <w:ind w:right="113"/>
        <w:jc w:val="both"/>
        <w:rPr>
          <w:rFonts w:ascii="Arial" w:hAnsi="Arial" w:cs="David"/>
          <w:rtl/>
        </w:rPr>
      </w:pPr>
      <w:r w:rsidRPr="002015B0">
        <w:rPr>
          <w:rFonts w:ascii="Arial" w:hAnsi="Arial" w:cs="David"/>
          <w:b/>
          <w:bCs/>
          <w:rtl/>
        </w:rPr>
        <w:t>תורת המסירה</w:t>
      </w:r>
      <w:r w:rsidRPr="002015B0">
        <w:rPr>
          <w:rFonts w:ascii="Arial" w:hAnsi="Arial" w:cs="David"/>
          <w:rtl/>
        </w:rPr>
        <w:t>- דוקטרינה משפטית לפיה הקיבול מתבצע בזמן מסירת הודעת הקיבול למציע (בניגוד לרגע משלוח הודעת הקיבול על-ידי הניצע ובניגוד לרגע שבו הודעת הקיבול מובאת לידיעתו של המציע).</w:t>
      </w:r>
    </w:p>
    <w:p w:rsidR="00B1347B" w:rsidRPr="002015B0" w:rsidRDefault="00B1347B" w:rsidP="00B1347B">
      <w:pPr>
        <w:pStyle w:val="NormalWeb"/>
        <w:bidi/>
        <w:spacing w:beforeAutospacing="0" w:after="0" w:afterAutospacing="0"/>
        <w:ind w:right="113"/>
        <w:jc w:val="both"/>
        <w:rPr>
          <w:rFonts w:ascii="Arial" w:hAnsi="Arial" w:cs="David"/>
          <w:rtl/>
        </w:rPr>
      </w:pPr>
      <w:r w:rsidRPr="002015B0">
        <w:rPr>
          <w:rFonts w:ascii="Arial" w:hAnsi="Arial" w:cs="David"/>
          <w:b/>
          <w:bCs/>
          <w:rtl/>
        </w:rPr>
        <w:t>תקדים</w:t>
      </w:r>
      <w:r w:rsidRPr="002015B0">
        <w:rPr>
          <w:rFonts w:ascii="Arial" w:hAnsi="Arial" w:cs="David"/>
          <w:rtl/>
        </w:rPr>
        <w:t>- נורמה משפטית שנוצרת על-ידי פסיקת בתי המשפט ("חקיקה שיפוטית"), ואשר בתי המשפט חייבים לפסוק לפי עקרונותיה כאשר מובאת להחלטתם סוגיה דומה לזו שבגינה נפסק התקדים.</w:t>
      </w:r>
    </w:p>
    <w:p w:rsidR="00B1347B" w:rsidRPr="002015B0" w:rsidRDefault="00B1347B" w:rsidP="00B1347B">
      <w:pPr>
        <w:pStyle w:val="NormalWeb"/>
        <w:bidi/>
        <w:spacing w:beforeAutospacing="0" w:after="0" w:afterAutospacing="0"/>
        <w:ind w:right="113"/>
        <w:jc w:val="both"/>
        <w:rPr>
          <w:rFonts w:ascii="Arial" w:hAnsi="Arial" w:cs="David"/>
          <w:rtl/>
        </w:rPr>
      </w:pPr>
      <w:r w:rsidRPr="002015B0">
        <w:rPr>
          <w:rFonts w:ascii="Arial" w:hAnsi="Arial" w:cs="David"/>
          <w:b/>
          <w:bCs/>
          <w:rtl/>
        </w:rPr>
        <w:t>תקנון החברה</w:t>
      </w:r>
      <w:r w:rsidRPr="002015B0">
        <w:rPr>
          <w:rFonts w:ascii="Arial" w:hAnsi="Arial" w:cs="David"/>
          <w:rtl/>
        </w:rPr>
        <w:t>- המסמך המרכזי המסדיר את מערכת היחסים שבין בעלי המניות לבין עצמם, ושבין החברה לבין בעלי המניות שלה. דין התקנון כדין חוזה.</w:t>
      </w:r>
    </w:p>
    <w:p w:rsidR="00B1347B" w:rsidRDefault="00B1347B" w:rsidP="009478B7">
      <w:pPr>
        <w:pStyle w:val="NormalWeb"/>
        <w:bidi/>
        <w:spacing w:beforeAutospacing="0" w:after="0" w:afterAutospacing="0"/>
        <w:ind w:right="113"/>
        <w:jc w:val="both"/>
        <w:rPr>
          <w:rFonts w:ascii="Arial" w:hAnsi="Arial" w:cs="David" w:hint="cs"/>
          <w:b/>
          <w:bCs/>
          <w:rtl/>
        </w:rPr>
      </w:pPr>
    </w:p>
    <w:p w:rsidR="00B1347B" w:rsidRPr="00B1347B" w:rsidRDefault="00B1347B" w:rsidP="00B1347B">
      <w:pPr>
        <w:pStyle w:val="NormalWeb"/>
        <w:bidi/>
        <w:spacing w:beforeAutospacing="0" w:after="0" w:afterAutospacing="0"/>
        <w:ind w:right="113"/>
        <w:jc w:val="both"/>
        <w:rPr>
          <w:rFonts w:ascii="Arial" w:hAnsi="Arial" w:cs="David" w:hint="cs"/>
          <w:b/>
          <w:bCs/>
          <w:sz w:val="28"/>
          <w:szCs w:val="28"/>
          <w:rtl/>
        </w:rPr>
      </w:pPr>
      <w:r w:rsidRPr="00B1347B">
        <w:rPr>
          <w:rFonts w:ascii="Arial" w:hAnsi="Arial" w:cs="David" w:hint="cs"/>
          <w:b/>
          <w:bCs/>
          <w:sz w:val="28"/>
          <w:szCs w:val="28"/>
          <w:u w:val="single"/>
          <w:rtl/>
        </w:rPr>
        <w:t>מושגים באנגלית</w:t>
      </w:r>
      <w:r w:rsidRPr="00B1347B">
        <w:rPr>
          <w:rFonts w:ascii="Arial" w:hAnsi="Arial" w:cs="David" w:hint="cs"/>
          <w:b/>
          <w:bCs/>
          <w:sz w:val="28"/>
          <w:szCs w:val="28"/>
          <w:rtl/>
        </w:rPr>
        <w:t>:</w:t>
      </w:r>
    </w:p>
    <w:p w:rsidR="009478B7" w:rsidRDefault="009478B7" w:rsidP="009478B7">
      <w:pPr>
        <w:spacing w:before="100" w:after="0" w:line="240" w:lineRule="auto"/>
        <w:ind w:right="113"/>
        <w:jc w:val="both"/>
        <w:rPr>
          <w:rFonts w:ascii="Arial" w:eastAsia="Times New Roman" w:hAnsi="Arial" w:cs="David" w:hint="cs"/>
          <w:sz w:val="24"/>
          <w:szCs w:val="24"/>
          <w:rtl/>
        </w:rPr>
      </w:pPr>
      <w:r w:rsidRPr="0045569A">
        <w:rPr>
          <w:rFonts w:ascii="Arial" w:eastAsia="Times New Roman" w:hAnsi="Arial" w:cs="David"/>
          <w:b/>
          <w:bCs/>
          <w:sz w:val="24"/>
          <w:szCs w:val="24"/>
        </w:rPr>
        <w:t>Actus Reus</w:t>
      </w:r>
      <w:r w:rsidRPr="0045569A">
        <w:rPr>
          <w:rFonts w:ascii="Arial" w:eastAsia="Times New Roman" w:hAnsi="Arial" w:cs="David" w:hint="cs"/>
          <w:sz w:val="24"/>
          <w:szCs w:val="24"/>
          <w:rtl/>
        </w:rPr>
        <w:t>- המעשה הפלילי.</w:t>
      </w:r>
    </w:p>
    <w:p w:rsidR="00B1347B" w:rsidRPr="0045569A" w:rsidRDefault="00B1347B" w:rsidP="00B1347B">
      <w:pPr>
        <w:spacing w:before="100" w:after="0" w:line="240" w:lineRule="auto"/>
        <w:ind w:right="113"/>
        <w:jc w:val="both"/>
        <w:rPr>
          <w:rFonts w:ascii="Arial" w:eastAsia="Times New Roman" w:hAnsi="Arial" w:cs="David"/>
          <w:sz w:val="24"/>
          <w:szCs w:val="24"/>
          <w:rtl/>
        </w:rPr>
      </w:pPr>
      <w:r w:rsidRPr="0045569A">
        <w:rPr>
          <w:rFonts w:ascii="Arial" w:eastAsia="Times New Roman" w:hAnsi="Arial" w:cs="David"/>
          <w:b/>
          <w:bCs/>
          <w:sz w:val="24"/>
          <w:szCs w:val="24"/>
          <w:rtl/>
        </w:rPr>
        <w:t>היסוד העובדתי של העבירה (</w:t>
      </w:r>
      <w:r w:rsidRPr="0045569A">
        <w:rPr>
          <w:rFonts w:ascii="Arial" w:eastAsia="Times New Roman" w:hAnsi="Arial" w:cs="David"/>
          <w:b/>
          <w:bCs/>
          <w:sz w:val="24"/>
          <w:szCs w:val="24"/>
        </w:rPr>
        <w:t>Actus Reus</w:t>
      </w:r>
      <w:r w:rsidRPr="0045569A">
        <w:rPr>
          <w:rFonts w:ascii="Arial" w:eastAsia="Times New Roman" w:hAnsi="Arial" w:cs="David"/>
          <w:b/>
          <w:bCs/>
          <w:sz w:val="24"/>
          <w:szCs w:val="24"/>
          <w:rtl/>
        </w:rPr>
        <w:t>)</w:t>
      </w:r>
      <w:r w:rsidRPr="0045569A">
        <w:rPr>
          <w:rFonts w:ascii="Arial" w:eastAsia="Times New Roman" w:hAnsi="Arial" w:cs="David"/>
          <w:sz w:val="24"/>
          <w:szCs w:val="24"/>
          <w:rtl/>
        </w:rPr>
        <w:t>- היסוד הפיזי בתוך מבנה העבירה. ניתן לחשוב על היסוד העובדתי כעל מכלול העבירה, למעט היסוד הנפשי. היסוד העובדתי מורכב ממעשה, נסיבות ותוצאה.</w:t>
      </w:r>
    </w:p>
    <w:p w:rsidR="00B1347B" w:rsidRPr="002015B0" w:rsidRDefault="00B1347B" w:rsidP="00B1347B">
      <w:pPr>
        <w:pStyle w:val="NormalWeb"/>
        <w:bidi/>
        <w:spacing w:beforeAutospacing="0" w:after="0" w:afterAutospacing="0"/>
        <w:ind w:right="113"/>
        <w:jc w:val="both"/>
        <w:rPr>
          <w:rFonts w:ascii="Arial" w:hAnsi="Arial" w:cs="David"/>
          <w:rtl/>
        </w:rPr>
      </w:pPr>
      <w:r w:rsidRPr="002015B0">
        <w:rPr>
          <w:rFonts w:ascii="Arial" w:hAnsi="Arial" w:cs="David"/>
          <w:b/>
          <w:bCs/>
          <w:rtl/>
        </w:rPr>
        <w:t>המשפט המקובל (</w:t>
      </w:r>
      <w:r w:rsidRPr="002015B0">
        <w:rPr>
          <w:rFonts w:cs="David"/>
          <w:b/>
          <w:bCs/>
        </w:rPr>
        <w:t>Common law</w:t>
      </w:r>
      <w:r w:rsidRPr="002015B0">
        <w:rPr>
          <w:rFonts w:ascii="Arial" w:hAnsi="Arial" w:cs="David"/>
          <w:b/>
          <w:bCs/>
          <w:rtl/>
        </w:rPr>
        <w:t>)</w:t>
      </w:r>
      <w:r w:rsidRPr="002015B0">
        <w:rPr>
          <w:rFonts w:ascii="Arial" w:hAnsi="Arial" w:cs="David"/>
          <w:rtl/>
        </w:rPr>
        <w:t>- שיטה משפטית שהתפתחה באנגליה ונהוגה בעיקר באנגליה, במדינות חבר העמים הבריטי ובמדינות שהיו בעבר תחת שלטונה של בריטניה (כמו גם ישראל). המשפט המקובל כולל בתוכו עקרונות ונורמות התנהגות מחייבות אשר לא התקבלו על-ידי פרלמנט דווקא, אלא בעיקר באמצעות פסיקות בתי המשפט (עקרון התקדים המחייב). לפי גישה זאת, לפסיקת בתי המשפט מעמד נורמטיבי מחייב כמו כל נורמה אשר נוצרת על-ידי הפרלמנט עצמו בהליך של חקיקה.</w:t>
      </w:r>
    </w:p>
    <w:p w:rsidR="00B1347B" w:rsidRPr="0045569A" w:rsidRDefault="00B1347B" w:rsidP="00B1347B">
      <w:pPr>
        <w:pStyle w:val="NormalWeb"/>
        <w:bidi/>
        <w:spacing w:beforeAutospacing="0" w:after="0" w:afterAutospacing="0"/>
        <w:ind w:right="113"/>
        <w:jc w:val="both"/>
        <w:rPr>
          <w:rFonts w:ascii="Arial" w:hAnsi="Arial" w:cs="David"/>
          <w:rtl/>
        </w:rPr>
      </w:pPr>
      <w:r w:rsidRPr="002015B0">
        <w:rPr>
          <w:rFonts w:ascii="Arial" w:hAnsi="Arial" w:cs="David"/>
          <w:b/>
          <w:bCs/>
          <w:rtl/>
        </w:rPr>
        <w:t>חוקה פורמאלית</w:t>
      </w:r>
      <w:r w:rsidRPr="002015B0">
        <w:rPr>
          <w:rFonts w:ascii="Arial" w:hAnsi="Arial" w:cs="David"/>
          <w:rtl/>
        </w:rPr>
        <w:t xml:space="preserve">- מסמך שחובר ע"י אנשים בשר ודם במדינה, אשר מהווה מסמך מהסדר הגבוה ביותר - נורמה עליונה במדינה ממנה נובעות נורמות אחרות. באנגלית היא קרויה </w:t>
      </w:r>
      <w:r w:rsidRPr="002015B0">
        <w:rPr>
          <w:rFonts w:ascii="Arial" w:hAnsi="Arial" w:cs="David"/>
        </w:rPr>
        <w:t>Constitution</w:t>
      </w:r>
      <w:r w:rsidRPr="002015B0">
        <w:rPr>
          <w:rFonts w:ascii="Arial" w:hAnsi="Arial" w:cs="David"/>
          <w:rtl/>
        </w:rPr>
        <w:t xml:space="preserve"> </w:t>
      </w:r>
      <w:r w:rsidRPr="002015B0">
        <w:rPr>
          <w:rFonts w:ascii="Arial" w:hAnsi="Arial" w:cs="David" w:hint="cs"/>
          <w:rtl/>
        </w:rPr>
        <w:t>- כלומר, יוצרת את מבנה המדינה.</w:t>
      </w:r>
    </w:p>
    <w:p w:rsidR="009478B7" w:rsidRDefault="009478B7" w:rsidP="009478B7">
      <w:pPr>
        <w:spacing w:before="100" w:after="0" w:line="240" w:lineRule="auto"/>
        <w:ind w:right="113"/>
        <w:jc w:val="both"/>
        <w:rPr>
          <w:rFonts w:ascii="Arial" w:eastAsia="Times New Roman" w:hAnsi="Arial" w:cs="David" w:hint="cs"/>
          <w:sz w:val="24"/>
          <w:szCs w:val="24"/>
          <w:rtl/>
        </w:rPr>
      </w:pPr>
      <w:r w:rsidRPr="0045569A">
        <w:rPr>
          <w:rFonts w:ascii="Arial" w:eastAsia="Times New Roman" w:hAnsi="Arial" w:cs="David"/>
          <w:b/>
          <w:bCs/>
          <w:sz w:val="24"/>
          <w:szCs w:val="24"/>
        </w:rPr>
        <w:t>Mens Rea</w:t>
      </w:r>
      <w:r w:rsidRPr="0045569A">
        <w:rPr>
          <w:rFonts w:ascii="Arial" w:eastAsia="Times New Roman" w:hAnsi="Arial" w:cs="David" w:hint="cs"/>
          <w:sz w:val="24"/>
          <w:szCs w:val="24"/>
          <w:rtl/>
        </w:rPr>
        <w:t>- מחשבה פלילית.</w:t>
      </w:r>
    </w:p>
    <w:p w:rsidR="00B1347B" w:rsidRPr="0045569A" w:rsidRDefault="00B1347B" w:rsidP="00B1347B">
      <w:pPr>
        <w:pStyle w:val="NormalWeb"/>
        <w:bidi/>
        <w:spacing w:beforeAutospacing="0" w:after="0" w:afterAutospacing="0"/>
        <w:ind w:right="113"/>
        <w:jc w:val="both"/>
        <w:rPr>
          <w:rFonts w:ascii="Arial" w:hAnsi="Arial" w:cs="David"/>
          <w:rtl/>
        </w:rPr>
      </w:pPr>
      <w:r w:rsidRPr="002015B0">
        <w:rPr>
          <w:rFonts w:ascii="Arial" w:hAnsi="Arial" w:cs="David"/>
          <w:b/>
          <w:bCs/>
          <w:rtl/>
        </w:rPr>
        <w:t>היסוד הנפשי של העבירה (</w:t>
      </w:r>
      <w:r w:rsidRPr="002015B0">
        <w:rPr>
          <w:rFonts w:ascii="Arial" w:hAnsi="Arial" w:cs="David"/>
          <w:b/>
          <w:bCs/>
        </w:rPr>
        <w:t>Mens Rea</w:t>
      </w:r>
      <w:r w:rsidRPr="002015B0">
        <w:rPr>
          <w:rFonts w:ascii="Arial" w:hAnsi="Arial" w:cs="David"/>
          <w:b/>
          <w:bCs/>
          <w:rtl/>
        </w:rPr>
        <w:t>)</w:t>
      </w:r>
      <w:r w:rsidRPr="002015B0">
        <w:rPr>
          <w:rFonts w:ascii="Arial" w:hAnsi="Arial" w:cs="David"/>
          <w:rtl/>
        </w:rPr>
        <w:t>- הלך הרוח הנפשי/פנימי של העבריין בתוך מבנה העבירה. ניתן לחשוב על היסוד הנפשי כעל מכלול העבירה, למעט היסוד העובדתי. היסוד הנפשי יכול להיות אחד משלושה סוגים: מחשבה פלילית, או רשלנות, או אחריות קפידה.</w:t>
      </w:r>
    </w:p>
    <w:p w:rsidR="00B1347B" w:rsidRPr="0045569A" w:rsidRDefault="00B1347B" w:rsidP="00B1347B">
      <w:pPr>
        <w:spacing w:before="100" w:after="0" w:line="240" w:lineRule="auto"/>
        <w:ind w:right="113"/>
        <w:jc w:val="both"/>
        <w:rPr>
          <w:rFonts w:ascii="Arial" w:eastAsia="Times New Roman" w:hAnsi="Arial" w:cs="David"/>
          <w:sz w:val="24"/>
          <w:szCs w:val="24"/>
          <w:rtl/>
        </w:rPr>
      </w:pPr>
      <w:r w:rsidRPr="0045569A">
        <w:rPr>
          <w:rFonts w:ascii="Arial" w:eastAsia="Times New Roman" w:hAnsi="Arial" w:cs="David"/>
          <w:b/>
          <w:bCs/>
          <w:sz w:val="24"/>
          <w:szCs w:val="24"/>
          <w:rtl/>
        </w:rPr>
        <w:t>אין עבירה ללא אשמה (</w:t>
      </w:r>
      <w:r w:rsidRPr="0045569A">
        <w:rPr>
          <w:rFonts w:ascii="Arial" w:eastAsia="Times New Roman" w:hAnsi="Arial" w:cs="David"/>
          <w:b/>
          <w:bCs/>
          <w:sz w:val="24"/>
          <w:szCs w:val="24"/>
        </w:rPr>
        <w:t>Nullum Crimen Sine Culpa</w:t>
      </w:r>
      <w:r>
        <w:rPr>
          <w:rFonts w:ascii="Arial" w:eastAsia="Times New Roman" w:hAnsi="Arial" w:cs="David"/>
          <w:b/>
          <w:bCs/>
          <w:sz w:val="24"/>
          <w:szCs w:val="24"/>
          <w:rtl/>
        </w:rPr>
        <w:t>)</w:t>
      </w:r>
      <w:r w:rsidRPr="0045569A">
        <w:rPr>
          <w:rFonts w:ascii="Arial" w:eastAsia="Times New Roman" w:hAnsi="Arial" w:cs="David"/>
          <w:sz w:val="24"/>
          <w:szCs w:val="24"/>
          <w:rtl/>
        </w:rPr>
        <w:t xml:space="preserve">- עקרון בדיני עונשין הקובע כי עצם הביצוע של המעשה לא מספיק על-מנת להחזיק אדם אחראי בפלילים ויש צורך גם באשמה. </w:t>
      </w:r>
    </w:p>
    <w:p w:rsidR="00B1347B" w:rsidRPr="0045569A" w:rsidRDefault="00B1347B" w:rsidP="00B1347B">
      <w:pPr>
        <w:spacing w:before="100" w:after="0" w:line="240" w:lineRule="auto"/>
        <w:ind w:right="113"/>
        <w:jc w:val="both"/>
        <w:rPr>
          <w:rFonts w:ascii="Arial" w:eastAsia="Times New Roman" w:hAnsi="Arial" w:cs="David"/>
          <w:b/>
          <w:bCs/>
          <w:sz w:val="24"/>
          <w:szCs w:val="24"/>
          <w:rtl/>
        </w:rPr>
      </w:pPr>
      <w:r w:rsidRPr="0045569A">
        <w:rPr>
          <w:rFonts w:ascii="Arial" w:eastAsia="Times New Roman" w:hAnsi="Arial" w:cs="David"/>
          <w:b/>
          <w:bCs/>
          <w:sz w:val="24"/>
          <w:szCs w:val="24"/>
          <w:rtl/>
        </w:rPr>
        <w:t>אין עונשין על דברים שבלב (</w:t>
      </w:r>
      <w:r w:rsidRPr="0045569A">
        <w:rPr>
          <w:rFonts w:ascii="Arial" w:eastAsia="Times New Roman" w:hAnsi="Arial" w:cs="David"/>
          <w:b/>
          <w:bCs/>
          <w:sz w:val="24"/>
          <w:szCs w:val="24"/>
        </w:rPr>
        <w:t>Nullum Crimen Sine Actum</w:t>
      </w:r>
      <w:r w:rsidRPr="0045569A">
        <w:rPr>
          <w:rFonts w:ascii="Arial" w:eastAsia="Times New Roman" w:hAnsi="Arial" w:cs="David"/>
          <w:b/>
          <w:bCs/>
          <w:sz w:val="24"/>
          <w:szCs w:val="24"/>
          <w:rtl/>
        </w:rPr>
        <w:t>)</w:t>
      </w:r>
      <w:r w:rsidRPr="0045569A">
        <w:rPr>
          <w:rFonts w:ascii="Arial" w:eastAsia="Times New Roman" w:hAnsi="Arial" w:cs="David"/>
          <w:sz w:val="24"/>
          <w:szCs w:val="24"/>
          <w:rtl/>
        </w:rPr>
        <w:t>- עקרון בדיני עונשין הקובע כי אין עבירה ללא מעשה.</w:t>
      </w:r>
    </w:p>
    <w:p w:rsidR="00B1347B" w:rsidRPr="0045569A" w:rsidRDefault="00B1347B" w:rsidP="00B1347B">
      <w:pPr>
        <w:spacing w:before="100" w:after="0" w:line="240" w:lineRule="auto"/>
        <w:ind w:right="113"/>
        <w:jc w:val="both"/>
        <w:rPr>
          <w:rFonts w:ascii="Arial" w:eastAsia="Times New Roman" w:hAnsi="Arial" w:cs="David"/>
          <w:sz w:val="24"/>
          <w:szCs w:val="24"/>
          <w:rtl/>
        </w:rPr>
      </w:pPr>
      <w:r w:rsidRPr="0045569A">
        <w:rPr>
          <w:rFonts w:ascii="Arial" w:eastAsia="Times New Roman" w:hAnsi="Arial" w:cs="David"/>
          <w:b/>
          <w:bCs/>
          <w:sz w:val="24"/>
          <w:szCs w:val="24"/>
          <w:rtl/>
        </w:rPr>
        <w:t>אין עבירה ללא חוק (</w:t>
      </w:r>
      <w:r w:rsidRPr="0045569A">
        <w:rPr>
          <w:rFonts w:ascii="Arial" w:eastAsia="Times New Roman" w:hAnsi="Arial" w:cs="David"/>
          <w:b/>
          <w:bCs/>
          <w:sz w:val="24"/>
          <w:szCs w:val="24"/>
        </w:rPr>
        <w:t>Nullum Crimen Sine Lege</w:t>
      </w:r>
      <w:r>
        <w:rPr>
          <w:rFonts w:ascii="Arial" w:eastAsia="Times New Roman" w:hAnsi="Arial" w:cs="David"/>
          <w:b/>
          <w:bCs/>
          <w:sz w:val="24"/>
          <w:szCs w:val="24"/>
          <w:rtl/>
        </w:rPr>
        <w:t>)</w:t>
      </w:r>
      <w:r w:rsidRPr="0045569A">
        <w:rPr>
          <w:rFonts w:ascii="Arial" w:eastAsia="Times New Roman" w:hAnsi="Arial" w:cs="David"/>
          <w:sz w:val="24"/>
          <w:szCs w:val="24"/>
          <w:rtl/>
        </w:rPr>
        <w:t>- עקרון בדיני עונשין הקובע שעבירה חייבת להיות הפרה של חוק ולא רק גרימה של נזק.</w:t>
      </w:r>
    </w:p>
    <w:p w:rsidR="0045569A" w:rsidRPr="002015B0" w:rsidRDefault="0045569A" w:rsidP="002015B0">
      <w:pPr>
        <w:spacing w:after="0" w:line="240" w:lineRule="auto"/>
        <w:rPr>
          <w:rFonts w:cs="David" w:hint="cs"/>
          <w:b/>
          <w:bCs/>
          <w:sz w:val="24"/>
          <w:szCs w:val="24"/>
          <w:rtl/>
        </w:rPr>
      </w:pPr>
    </w:p>
    <w:sectPr w:rsidR="0045569A" w:rsidRPr="002015B0" w:rsidSect="002015B0">
      <w:pgSz w:w="11906" w:h="16838"/>
      <w:pgMar w:top="1134" w:right="1134" w:bottom="1134" w:left="1134" w:header="709" w:footer="709"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avid">
    <w:panose1 w:val="020E0502060401010101"/>
    <w:charset w:val="B1"/>
    <w:family w:val="swiss"/>
    <w:pitch w:val="variable"/>
    <w:sig w:usb0="00000801" w:usb1="00000000" w:usb2="00000000" w:usb3="00000000" w:csb0="0000002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6A56"/>
    <w:rsid w:val="000662D9"/>
    <w:rsid w:val="001D32DF"/>
    <w:rsid w:val="001E2CE2"/>
    <w:rsid w:val="001F6F9D"/>
    <w:rsid w:val="002015B0"/>
    <w:rsid w:val="0021463E"/>
    <w:rsid w:val="0045569A"/>
    <w:rsid w:val="005F1222"/>
    <w:rsid w:val="00605B50"/>
    <w:rsid w:val="00741CE9"/>
    <w:rsid w:val="0078757C"/>
    <w:rsid w:val="007E06AD"/>
    <w:rsid w:val="00895FDA"/>
    <w:rsid w:val="008A6A56"/>
    <w:rsid w:val="008B2BF9"/>
    <w:rsid w:val="009154A5"/>
    <w:rsid w:val="009478B7"/>
    <w:rsid w:val="00A51886"/>
    <w:rsid w:val="00AC6A5B"/>
    <w:rsid w:val="00AF6498"/>
    <w:rsid w:val="00B1347B"/>
    <w:rsid w:val="00B20AF3"/>
    <w:rsid w:val="00BC5969"/>
    <w:rsid w:val="00C35B53"/>
    <w:rsid w:val="00C6586F"/>
    <w:rsid w:val="00D22E48"/>
    <w:rsid w:val="00D910C3"/>
    <w:rsid w:val="00DE468D"/>
    <w:rsid w:val="00DF51E7"/>
    <w:rsid w:val="00E7418B"/>
    <w:rsid w:val="00E83F26"/>
    <w:rsid w:val="00EE2759"/>
    <w:rsid w:val="00F07CF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uiPriority w:val="99"/>
    <w:semiHidden/>
    <w:unhideWhenUsed/>
    <w:rsid w:val="008A6A56"/>
    <w:rPr>
      <w:color w:val="0000FF"/>
      <w:u w:val="single"/>
    </w:rPr>
  </w:style>
  <w:style w:type="paragraph" w:styleId="NormalWeb">
    <w:name w:val="Normal (Web)"/>
    <w:basedOn w:val="a"/>
    <w:uiPriority w:val="99"/>
    <w:unhideWhenUsed/>
    <w:rsid w:val="008A6A56"/>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a3">
    <w:name w:val="Strong"/>
    <w:basedOn w:val="a0"/>
    <w:uiPriority w:val="22"/>
    <w:qFormat/>
    <w:rsid w:val="008A6A56"/>
    <w:rPr>
      <w:b/>
      <w:bCs/>
    </w:rPr>
  </w:style>
  <w:style w:type="paragraph" w:styleId="a4">
    <w:name w:val="Balloon Text"/>
    <w:basedOn w:val="a"/>
    <w:link w:val="a5"/>
    <w:uiPriority w:val="99"/>
    <w:semiHidden/>
    <w:unhideWhenUsed/>
    <w:rsid w:val="008A6A56"/>
    <w:pPr>
      <w:spacing w:after="0" w:line="240" w:lineRule="auto"/>
    </w:pPr>
    <w:rPr>
      <w:rFonts w:ascii="Tahoma" w:hAnsi="Tahoma" w:cs="Tahoma"/>
      <w:sz w:val="16"/>
      <w:szCs w:val="16"/>
    </w:rPr>
  </w:style>
  <w:style w:type="character" w:customStyle="1" w:styleId="a5">
    <w:name w:val="טקסט בלונים תו"/>
    <w:basedOn w:val="a0"/>
    <w:link w:val="a4"/>
    <w:uiPriority w:val="99"/>
    <w:semiHidden/>
    <w:rsid w:val="008A6A56"/>
    <w:rPr>
      <w:rFonts w:ascii="Tahoma" w:hAnsi="Tahoma" w:cs="Tahoma"/>
      <w:sz w:val="16"/>
      <w:szCs w:val="16"/>
    </w:rPr>
  </w:style>
  <w:style w:type="paragraph" w:styleId="a6">
    <w:name w:val="Body Text"/>
    <w:basedOn w:val="a"/>
    <w:link w:val="a7"/>
    <w:uiPriority w:val="99"/>
    <w:semiHidden/>
    <w:unhideWhenUsed/>
    <w:rsid w:val="0045569A"/>
    <w:pPr>
      <w:spacing w:after="0" w:line="240" w:lineRule="auto"/>
      <w:jc w:val="both"/>
    </w:pPr>
    <w:rPr>
      <w:rFonts w:ascii="Times New Roman" w:eastAsia="Times New Roman" w:hAnsi="Times New Roman" w:cs="David"/>
      <w:sz w:val="24"/>
      <w:szCs w:val="24"/>
      <w:lang w:eastAsia="he-IL"/>
    </w:rPr>
  </w:style>
  <w:style w:type="character" w:customStyle="1" w:styleId="a7">
    <w:name w:val="גוף טקסט תו"/>
    <w:basedOn w:val="a0"/>
    <w:link w:val="a6"/>
    <w:uiPriority w:val="99"/>
    <w:semiHidden/>
    <w:rsid w:val="0045569A"/>
    <w:rPr>
      <w:rFonts w:ascii="Times New Roman" w:eastAsia="Times New Roman" w:hAnsi="Times New Roman" w:cs="David"/>
      <w:sz w:val="24"/>
      <w:szCs w:val="24"/>
      <w:lang w:eastAsia="he-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uiPriority w:val="99"/>
    <w:semiHidden/>
    <w:unhideWhenUsed/>
    <w:rsid w:val="008A6A56"/>
    <w:rPr>
      <w:color w:val="0000FF"/>
      <w:u w:val="single"/>
    </w:rPr>
  </w:style>
  <w:style w:type="paragraph" w:styleId="NormalWeb">
    <w:name w:val="Normal (Web)"/>
    <w:basedOn w:val="a"/>
    <w:uiPriority w:val="99"/>
    <w:unhideWhenUsed/>
    <w:rsid w:val="008A6A56"/>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a3">
    <w:name w:val="Strong"/>
    <w:basedOn w:val="a0"/>
    <w:uiPriority w:val="22"/>
    <w:qFormat/>
    <w:rsid w:val="008A6A56"/>
    <w:rPr>
      <w:b/>
      <w:bCs/>
    </w:rPr>
  </w:style>
  <w:style w:type="paragraph" w:styleId="a4">
    <w:name w:val="Balloon Text"/>
    <w:basedOn w:val="a"/>
    <w:link w:val="a5"/>
    <w:uiPriority w:val="99"/>
    <w:semiHidden/>
    <w:unhideWhenUsed/>
    <w:rsid w:val="008A6A56"/>
    <w:pPr>
      <w:spacing w:after="0" w:line="240" w:lineRule="auto"/>
    </w:pPr>
    <w:rPr>
      <w:rFonts w:ascii="Tahoma" w:hAnsi="Tahoma" w:cs="Tahoma"/>
      <w:sz w:val="16"/>
      <w:szCs w:val="16"/>
    </w:rPr>
  </w:style>
  <w:style w:type="character" w:customStyle="1" w:styleId="a5">
    <w:name w:val="טקסט בלונים תו"/>
    <w:basedOn w:val="a0"/>
    <w:link w:val="a4"/>
    <w:uiPriority w:val="99"/>
    <w:semiHidden/>
    <w:rsid w:val="008A6A56"/>
    <w:rPr>
      <w:rFonts w:ascii="Tahoma" w:hAnsi="Tahoma" w:cs="Tahoma"/>
      <w:sz w:val="16"/>
      <w:szCs w:val="16"/>
    </w:rPr>
  </w:style>
  <w:style w:type="paragraph" w:styleId="a6">
    <w:name w:val="Body Text"/>
    <w:basedOn w:val="a"/>
    <w:link w:val="a7"/>
    <w:uiPriority w:val="99"/>
    <w:semiHidden/>
    <w:unhideWhenUsed/>
    <w:rsid w:val="0045569A"/>
    <w:pPr>
      <w:spacing w:after="0" w:line="240" w:lineRule="auto"/>
      <w:jc w:val="both"/>
    </w:pPr>
    <w:rPr>
      <w:rFonts w:ascii="Times New Roman" w:eastAsia="Times New Roman" w:hAnsi="Times New Roman" w:cs="David"/>
      <w:sz w:val="24"/>
      <w:szCs w:val="24"/>
      <w:lang w:eastAsia="he-IL"/>
    </w:rPr>
  </w:style>
  <w:style w:type="character" w:customStyle="1" w:styleId="a7">
    <w:name w:val="גוף טקסט תו"/>
    <w:basedOn w:val="a0"/>
    <w:link w:val="a6"/>
    <w:uiPriority w:val="99"/>
    <w:semiHidden/>
    <w:rsid w:val="0045569A"/>
    <w:rPr>
      <w:rFonts w:ascii="Times New Roman" w:eastAsia="Times New Roman" w:hAnsi="Times New Roman" w:cs="David"/>
      <w:sz w:val="24"/>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366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198</TotalTime>
  <Pages>9</Pages>
  <Words>5557</Words>
  <Characters>27788</Characters>
  <Application>Microsoft Office Word</Application>
  <DocSecurity>0</DocSecurity>
  <Lines>231</Lines>
  <Paragraphs>66</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33279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21</cp:revision>
  <cp:lastPrinted>2012-06-23T17:49:00Z</cp:lastPrinted>
  <dcterms:created xsi:type="dcterms:W3CDTF">2012-04-16T13:53:00Z</dcterms:created>
  <dcterms:modified xsi:type="dcterms:W3CDTF">2012-06-23T17:52:00Z</dcterms:modified>
</cp:coreProperties>
</file>